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湖南劳动人事职业学院关于举办首届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职业规划大赛的通知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各处室、系部、院属各单位：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贯彻落实党中央、国务院关于高校毕业生就业工作的决策部署，加强大学生职业规划教育和就业指导，促进高校毕业生高质量充分就业，根据《湖南省教育厅关于举办湖南省大学生职业规划大赛的通知》湘教通〔2023〕346号要求，结合学院实际，决定举办学院首届职业规划大赛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jc w:val="left"/>
        <w:textAlignment w:val="auto"/>
        <w:rPr>
          <w:rFonts w:hint="default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筑梦青春志在四方，规划启航职引未来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jc w:val="left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二、大赛目标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立德树人根本任务，对接全省大赛，努力将大赛打造成强化生涯教育的大课堂、促进人才供需对接的大平台、服务毕业生就业的大市场。通过举办大赛，更好实现以赛促学，引导大学生树立正确的成才观、就业观和择业观，科学合理规划学业与职业发展，提升就业竞争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三、参赛对象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学院在籍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主办：招生就业处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承办：人力资源和社会保障系、机电工程系、商贸旅游系、质量与信息技术系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、大赛内容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成长赛道。面向中低年级学生，考察其职业发展规划的科学性和围绕实现职业目标的成长过程，通过学习实践持续提升职业目标达成度，增强综合素质和能力（详见附件1）。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就业赛道。面向高年级学生，考察其求职实战能力，个人发展路径与经济社会发展需要的适应度，就业能力与职业目标和岗位要求的契合度（详见附件2）。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2" w:firstLineChars="200"/>
        <w:textAlignment w:val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赛程安排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大赛采用系级初赛、校级复赛、校级决赛三级赛制，按照最终评审排名推荐晋级省赛。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参赛报名。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须通过全国大学生职业规划大赛平台（以下简称大赛平台，网址：zgs.chsi.com.cn）进行报名，在大赛平台登录页面可下载学生操作手册。大赛平台成长赛道设生涯闯关功能，就业赛道设职业适配度测评功能，参赛选手可根据需要选择参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lang w:val="en-US" w:eastAsia="zh-CN"/>
        </w:rPr>
        <w:t>系级初赛（11月29日-12月10日）。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系自行组织初赛。系内选拔须于12月10日前完成并报送推荐选手的相关资料，即《XX系首届职业规划大赛参赛选手汇总表》（附件3）、推荐晋级校赛的选手相关资料（成长赛道选手提供生涯发展报告PDF格式和生涯发展展示PPT电子版；就业赛道选手提供求职简历PDF格式和就业能力展示PPT电子版）。上述材料（每位选手需单独建文件夹备注专业姓名，成长赛道和就业赛道单独建文件夹备注系名称）于12月10日16点前打包发送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5883607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。系推荐晋级校级复赛名额=系网站报名参赛选手总数*10%。参赛选手总数以12月10日16:00前报名系统中统计的有效选手数量为准。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校级复赛（</w:t>
      </w:r>
      <w:r>
        <w:rPr>
          <w:rFonts w:hint="default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val="en-US" w:eastAsia="zh-CN"/>
        </w:rPr>
        <w:t>2月</w:t>
      </w:r>
      <w:r>
        <w:rPr>
          <w:rFonts w:hint="default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val="en-US" w:eastAsia="zh-CN"/>
        </w:rPr>
        <w:t>5日前）。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招生就业处组织校内外就业指导专家对各系推荐选手的参赛材料（成长赛道为生涯发展报告、生涯发展展示，就业赛道为求职简历、就业能力展示及辅助证明材料）进行评选，按各赛道总成绩排名前 10 名选手进入校级决赛。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</w:rPr>
        <w:t>校</w:t>
      </w:r>
      <w:r>
        <w:rPr>
          <w:rFonts w:hint="eastAsia" w:ascii="楷体" w:hAnsi="楷体" w:eastAsia="楷体" w:cs="楷体"/>
          <w:lang w:val="en-US" w:eastAsia="zh-CN"/>
        </w:rPr>
        <w:t>级决赛（</w:t>
      </w:r>
      <w:r>
        <w:rPr>
          <w:rFonts w:hint="default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  <w:lang w:val="en-US" w:eastAsia="zh-CN"/>
        </w:rPr>
        <w:t>2月</w:t>
      </w:r>
      <w:r>
        <w:rPr>
          <w:rFonts w:hint="default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val="en-US" w:eastAsia="zh-CN"/>
        </w:rPr>
        <w:t>8日前）。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决赛采取现场赛形式，成长赛道设主题陈述、评委提问和天降实习offer(实习意向)环节，就业赛道设主题陈述、综合面试和天降offer(录用意向)环节。根据湖南省首届大学生职业规划大赛组委会有关要求，按照决赛成绩排名推荐选手参加省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系报名数量要求。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教育厅将根据学校报名选手总数分配各级赛事晋级名额。请各系广泛宣传，为学生提供良好的参赛环境，按照“系参赛学生总数≥在籍生人数×0.1”的比例，组织学生报名参赛，多报不限。晋级校级复赛名额根据12月10日16：00前系统成功报名的学生数量进行核算。12月10日—12月15日各系仍可继续组织学生在大赛平台报名，报名参赛比例最高的系将获得优秀组织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七</w:t>
      </w:r>
      <w:r>
        <w:rPr>
          <w:rFonts w:ascii="黑体" w:hAnsi="黑体" w:eastAsia="黑体" w:cs="黑体"/>
          <w:spacing w:val="6"/>
          <w:sz w:val="31"/>
          <w:szCs w:val="31"/>
        </w:rPr>
        <w:t>、大赛指导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为配合职业规划大赛开展，各系开展主题班会、生涯辅导讲座等专题报告，认真组织学生报名参赛，通知参赛选手加入大赛交流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群：621945407。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20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2019300" cy="1990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大赛通知QQ群二维码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hint="eastAsia"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八</w:t>
      </w:r>
      <w:r>
        <w:rPr>
          <w:rFonts w:ascii="黑体" w:hAnsi="黑体" w:eastAsia="黑体" w:cs="黑体"/>
          <w:spacing w:val="6"/>
          <w:sz w:val="31"/>
          <w:szCs w:val="31"/>
          <w:lang w:val="en-US" w:eastAsia="zh-CN"/>
        </w:rPr>
        <w:t>、奖项设置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大赛按成长赛道、就业赛道分别评奖。各赛道奖项设置如下：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一等奖1名，奖金1000元，颁发荣誉证书，并获得名企实习/就业推荐机会；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二等奖2名，奖金600元，颁发荣誉证书，并获得名企实习/就业推荐机会；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三等奖3名，奖金300元，颁发荣誉证书，并获得名企实习/就业推荐机会。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根据各系提交作品的数量、质量及获奖情况，设优秀组织奖1名、优秀指导老师奖若干名，颁发奖牌与奖状并在年终就业工作先进单位中给予加分。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1"/>
        <w:jc w:val="both"/>
        <w:textAlignment w:val="auto"/>
        <w:rPr>
          <w:rFonts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九</w:t>
      </w:r>
      <w:r>
        <w:rPr>
          <w:rFonts w:ascii="黑体" w:hAnsi="黑体" w:eastAsia="黑体" w:cs="黑体"/>
          <w:spacing w:val="6"/>
          <w:sz w:val="31"/>
          <w:szCs w:val="31"/>
          <w:lang w:val="en-US" w:eastAsia="zh-CN"/>
        </w:rPr>
        <w:t>、有关要求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（一）充分发动。各系要高度重视本次大赛，广泛宣传、积极动员、悉心指导，切实激发学生学涯及职涯规划、就业发展及创新创业意识，在活动中正确认知自我、进行职业探索及提升就业能力。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（二）精心组织。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各系要确保比赛安全有序推进，认真做好参赛选手资格审查和提交材料审查工作，确保符合参赛要求，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并将大赛与各类就业指导、线上线下招聘等同期活动统筹推进，助力更多大学生在参赛过程中实现就业。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1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湖南劳动人事职业学院首届职业规划大赛成长赛道方案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1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湖南劳动人事职业学院首届职业规划大赛就业赛道方案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1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XX系首届职业规划大赛参赛选手汇总表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9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78" w:leftChars="456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湖南劳动人事职业学院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100" w:line="230" w:lineRule="auto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0" w:line="230" w:lineRule="auto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6"/>
          <w:sz w:val="31"/>
          <w:szCs w:val="31"/>
          <w:lang w:val="en-US" w:eastAsia="zh-CN"/>
        </w:rPr>
        <w:t>1</w:t>
      </w:r>
    </w:p>
    <w:p>
      <w:pPr>
        <w:spacing w:line="273" w:lineRule="auto"/>
        <w:rPr>
          <w:rFonts w:ascii="Arial"/>
          <w:b w:val="0"/>
          <w:bCs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lang w:val="en-US" w:eastAsia="zh-CN"/>
        </w:rPr>
        <w:t>湖南劳动人事职业学院首届职业规划大赛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成长赛道方案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一、比赛内容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考察学生职业发展规划的科学性和围绕实现职业目标的成长过程,通过学习实践持续提升职业目标的达成度,增强综合素质和能力。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二、参赛对象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成长赛道参赛对象为普通高等学校全日制中低年级在校学生，面向高职（专科）一、二年级学生。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三、参赛材料要求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选手在大赛平台（网址：zgs.chsi.com.cn）提交以下参赛资料: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（一）生涯发展报告：介绍职业发展规划、实现职业目标的具体行动和成果（PDF格式,文字不超过1500 字，如有图表不超过5张）。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（二）生涯发展展示（PPT格式，不超过50MB；可加入视频）。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</w:t>
      </w:r>
      <w:r>
        <w:rPr>
          <w:rFonts w:hint="eastAsia" w:ascii="黑体" w:hAnsi="黑体" w:eastAsia="黑体" w:cs="黑体"/>
          <w:spacing w:val="7"/>
          <w:sz w:val="31"/>
          <w:szCs w:val="31"/>
        </w:rPr>
        <w:t>复</w:t>
      </w:r>
      <w:r>
        <w:rPr>
          <w:rFonts w:ascii="黑体" w:hAnsi="黑体" w:eastAsia="黑体" w:cs="黑体"/>
          <w:spacing w:val="7"/>
          <w:sz w:val="31"/>
          <w:szCs w:val="31"/>
        </w:rPr>
        <w:t>赛环节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成长赛道复赛环节由学校组织专家评审各系推荐选手的参赛作品（生涯发展报告和生涯发展展示）。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hint="eastAsia"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</w:rPr>
        <w:t>五、决赛环节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成长赛道决赛环节设主题陈述、评委提问和天降offer三个环节。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（一）主题陈述（8分钟）:选手结合生涯发展报告进行陈述和展示。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（二）评委提问（2分钟）:评委结合选手陈述和现场表现进行提问。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（三）天降offer（2分钟）:用人单位根据选手表现，决定是否给出实习意向，并对选手作点评。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hint="eastAsia"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</w:rPr>
        <w:t>六、评审标准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26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</w:t>
            </w:r>
          </w:p>
        </w:tc>
        <w:tc>
          <w:tcPr>
            <w:tcW w:w="367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职业目标</w:t>
            </w:r>
          </w:p>
        </w:tc>
        <w:tc>
          <w:tcPr>
            <w:tcW w:w="3673" w:type="pct"/>
            <w:noWrap w:val="0"/>
            <w:vAlign w:val="center"/>
          </w:tcPr>
          <w:p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spacing w:before="209" w:line="600" w:lineRule="exact"/>
              <w:rPr>
                <w:rFonts w:hint="eastAsia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职业目标体现积极正向的价值追求,能够将个人理想与国家需要、</w:t>
            </w:r>
            <w:r>
              <w:rPr>
                <w:spacing w:val="-2"/>
                <w:sz w:val="21"/>
                <w:szCs w:val="21"/>
              </w:rPr>
              <w:t>经济社会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发展</w:t>
            </w:r>
            <w:r>
              <w:rPr>
                <w:spacing w:val="-2"/>
                <w:sz w:val="21"/>
                <w:szCs w:val="21"/>
              </w:rPr>
              <w:t>相结合</w:t>
            </w:r>
            <w:r>
              <w:rPr>
                <w:rFonts w:hint="eastAsia"/>
                <w:spacing w:val="-2"/>
                <w:sz w:val="21"/>
                <w:szCs w:val="21"/>
              </w:rPr>
              <w:t>。</w:t>
            </w:r>
          </w:p>
          <w:p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spacing w:line="600" w:lineRule="exact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职业目标匹配个人价值观、能力优势、兴趣特点。</w:t>
            </w:r>
          </w:p>
          <w:p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spacing w:line="600" w:lineRule="exact"/>
              <w:rPr>
                <w:rFonts w:hint="eastAsia"/>
                <w:spacing w:val="-2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准确认识目标职业在专业知识、通用素质、就业能力等方面的要求,科学分析个人现实情况与目标要求的差距,制定合理可行的计划</w:t>
            </w:r>
            <w:r>
              <w:rPr>
                <w:rFonts w:hint="eastAsia"/>
                <w:spacing w:val="-1"/>
                <w:sz w:val="21"/>
                <w:szCs w:val="21"/>
              </w:rPr>
              <w:t>。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行动成果</w:t>
            </w:r>
          </w:p>
        </w:tc>
        <w:tc>
          <w:tcPr>
            <w:tcW w:w="3673" w:type="pct"/>
            <w:noWrap w:val="0"/>
            <w:vAlign w:val="center"/>
          </w:tcPr>
          <w:p>
            <w:pPr>
              <w:pStyle w:val="11"/>
              <w:numPr>
                <w:ilvl w:val="0"/>
                <w:numId w:val="5"/>
              </w:numPr>
              <w:autoSpaceDE w:val="0"/>
              <w:autoSpaceDN w:val="0"/>
              <w:spacing w:before="24" w:line="60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成长行动符合目标职业在通用素质、就业能力、职业道德等方面</w:t>
            </w:r>
            <w:r>
              <w:rPr>
                <w:rFonts w:hint="eastAsia"/>
                <w:spacing w:val="-1"/>
                <w:sz w:val="21"/>
                <w:szCs w:val="21"/>
              </w:rPr>
              <w:t>的要求。</w:t>
            </w:r>
          </w:p>
          <w:p>
            <w:pPr>
              <w:pStyle w:val="11"/>
              <w:numPr>
                <w:ilvl w:val="0"/>
                <w:numId w:val="5"/>
              </w:numPr>
              <w:autoSpaceDE w:val="0"/>
              <w:autoSpaceDN w:val="0"/>
              <w:spacing w:before="24" w:line="60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成长行动对弥补个人不足的针对性较强。</w:t>
            </w:r>
          </w:p>
          <w:p>
            <w:pPr>
              <w:pStyle w:val="11"/>
              <w:numPr>
                <w:ilvl w:val="0"/>
                <w:numId w:val="5"/>
              </w:numPr>
              <w:autoSpaceDE w:val="0"/>
              <w:autoSpaceDN w:val="0"/>
              <w:spacing w:before="24" w:line="60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能够将专业知识应用于成长实践,提高通用素质和就业能力。</w:t>
            </w:r>
          </w:p>
          <w:p>
            <w:pPr>
              <w:pStyle w:val="11"/>
              <w:numPr>
                <w:ilvl w:val="0"/>
                <w:numId w:val="5"/>
              </w:numPr>
              <w:autoSpaceDE w:val="0"/>
              <w:autoSpaceDN w:val="0"/>
              <w:spacing w:before="24" w:line="60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成长行动内容丰富,取得阶段性成果</w:t>
            </w:r>
            <w:r>
              <w:rPr>
                <w:rFonts w:hint="eastAsia"/>
                <w:spacing w:val="-1"/>
                <w:sz w:val="21"/>
                <w:szCs w:val="21"/>
              </w:rPr>
              <w:t>。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目标契合度</w:t>
            </w:r>
          </w:p>
        </w:tc>
        <w:tc>
          <w:tcPr>
            <w:tcW w:w="3673" w:type="pct"/>
            <w:noWrap w:val="0"/>
            <w:vAlign w:val="center"/>
          </w:tcPr>
          <w:p>
            <w:pPr>
              <w:numPr>
                <w:ilvl w:val="0"/>
                <w:numId w:val="6"/>
              </w:numPr>
              <w:autoSpaceDE w:val="0"/>
              <w:autoSpaceDN w:val="0"/>
              <w:spacing w:line="600" w:lineRule="exac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行动成果与职业目标的契合程度。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spacing w:line="600" w:lineRule="exac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总结成长行动中存在的不足和原因,对成长计划进行自我评估和动</w:t>
            </w:r>
            <w:r>
              <w:rPr>
                <w:rFonts w:hint="eastAsia"/>
                <w:spacing w:val="-1"/>
                <w:sz w:val="21"/>
                <w:szCs w:val="21"/>
              </w:rPr>
              <w:t>态调整。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实习意向</w:t>
            </w:r>
          </w:p>
        </w:tc>
        <w:tc>
          <w:tcPr>
            <w:tcW w:w="367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现场获得用人单位发放实习意向情况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spacing w:val="13"/>
        </w:rPr>
      </w:pPr>
    </w:p>
    <w:bookmarkEnd w:id="0"/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2</w:t>
      </w:r>
    </w:p>
    <w:p>
      <w:pPr>
        <w:spacing w:line="46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lang w:val="en-US" w:eastAsia="zh-CN"/>
        </w:rPr>
        <w:t>湖南劳动人事职业学院首届职业规划大赛就业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赛道方案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6"/>
        <w:textAlignment w:val="auto"/>
        <w:rPr>
          <w:rFonts w:hint="eastAsia"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</w:rPr>
        <w:t>一、比赛内容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考察学生的求职实战能力,个人发展路径与经济社会发展需要的适应度,就业能力与职业目标和岗位要求的契合度。 </w:t>
      </w:r>
    </w:p>
    <w:p>
      <w:pPr>
        <w:autoSpaceDE w:val="0"/>
        <w:autoSpaceDN w:val="0"/>
        <w:spacing w:line="360" w:lineRule="auto"/>
        <w:ind w:firstLine="648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  <w:t xml:space="preserve">二、参赛对象    </w:t>
      </w:r>
      <w:r>
        <w:rPr>
          <w:rFonts w:hint="eastAsia" w:ascii="宋体" w:hAnsi="宋体" w:cs="宋体"/>
          <w:sz w:val="28"/>
          <w:szCs w:val="28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就业赛道参赛对象为普通高等学校全日制高年级在校学生，面向高职（专科）二、三年级学生。</w:t>
      </w:r>
    </w:p>
    <w:p>
      <w:pPr>
        <w:autoSpaceDE w:val="0"/>
        <w:autoSpaceDN w:val="0"/>
        <w:spacing w:line="360" w:lineRule="auto"/>
        <w:ind w:firstLine="648" w:firstLineChars="200"/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  <w:t>三、参赛材料要求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（一）求职简历（PDF格式）。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（二）就业能力展示（PPT格式，不超过50MB；可加入视频）。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（三）辅助证明材料，包括实践、实习、获奖等证明材料（PDF格式，整合为单个文件，不超过50MB）。</w:t>
      </w:r>
    </w:p>
    <w:p>
      <w:pPr>
        <w:autoSpaceDE w:val="0"/>
        <w:autoSpaceDN w:val="0"/>
        <w:spacing w:line="360" w:lineRule="auto"/>
        <w:ind w:firstLine="648" w:firstLineChars="200"/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  <w:t>四、复赛环节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就业赛道复赛环节由学校组织专家评审各系推荐选手的参赛作品（求职简历、就业能力展示、辅助证明材料）。</w:t>
      </w:r>
    </w:p>
    <w:p>
      <w:pPr>
        <w:autoSpaceDE w:val="0"/>
        <w:autoSpaceDN w:val="0"/>
        <w:spacing w:line="360" w:lineRule="auto"/>
        <w:ind w:firstLine="648" w:firstLineChars="200"/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zh-CN" w:bidi="ar-SA"/>
        </w:rPr>
        <w:t>五、</w:t>
      </w: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  <w:t>决赛环节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就业赛道校级决赛设主题陈述、综合面试和天降offer（录用意向）环节。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（一）主题陈述（7分钟）：选手陈述个人求职意向和职业准备情况，展示通用素质与岗位能力。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（二）综合面试（3分钟）：评委提出真实工作场景中可能遇到的问题，选手提出解决方案;评委结合选手陈述自由提问。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（三）天降offer（2分钟）：用人单位根据选手表现决定是否给出录用意向，并对选手作点评。</w:t>
      </w:r>
    </w:p>
    <w:p>
      <w:pPr>
        <w:autoSpaceDE w:val="0"/>
        <w:autoSpaceDN w:val="0"/>
        <w:spacing w:line="360" w:lineRule="auto"/>
        <w:ind w:firstLine="648" w:firstLineChars="200"/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pacing w:val="7"/>
          <w:kern w:val="2"/>
          <w:sz w:val="31"/>
          <w:szCs w:val="31"/>
          <w:lang w:val="en-US" w:eastAsia="en-US" w:bidi="ar-SA"/>
        </w:rPr>
        <w:t>六、评审标准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1"/>
        <w:gridCol w:w="4818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指标</w:t>
            </w:r>
          </w:p>
        </w:tc>
        <w:tc>
          <w:tcPr>
            <w:tcW w:w="28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一级指标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二级指标</w:t>
            </w:r>
          </w:p>
        </w:tc>
        <w:tc>
          <w:tcPr>
            <w:tcW w:w="28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通用素质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职业精神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具有家国情怀，有爱岗敬业、忠诚守信、奋斗奉献精神等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心理素质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具备目标岗位所需的意志力、抗压能力等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思维能力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具备目标岗位所需的逻辑推理。系统分析和信息处理能力等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沟通能力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具备目标岗位所需的语言表达、交流协调能力等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执行和领导能力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能够针对工作任务制定计划并实施，具备目标岗位所需的团队领导。协作、激励和执行能力等</w:t>
            </w: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岗位能力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岗位认知程度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全面了解目标行业现状、发展趋势和就业需求，准确把握目标岗位的任职要求、工作流程。工作内容等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岗位胜任能力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具备目前岗位所需的专业能力、实习实践经历、解决实际工作问题的能力等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发展潜力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职业目标契合行业发展前景和人才需求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录用意向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——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现场获得用人单位提供录用意向情况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</w:tr>
    </w:tbl>
    <w:p>
      <w:pPr>
        <w:numPr>
          <w:ilvl w:val="0"/>
          <w:numId w:val="0"/>
        </w:numPr>
        <w:jc w:val="left"/>
        <w:rPr>
          <w:rStyle w:val="8"/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Style w:val="8"/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79"/>
        <w:gridCol w:w="1190"/>
        <w:gridCol w:w="987"/>
        <w:gridCol w:w="1278"/>
        <w:gridCol w:w="716"/>
        <w:gridCol w:w="1314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spacing w:val="-3"/>
                <w:sz w:val="31"/>
                <w:szCs w:val="31"/>
              </w:rPr>
              <w:t xml:space="preserve">附件3：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XX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系首届职业规划大赛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参赛选手汇总表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1-2名）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Style w:val="8"/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Style w:val="8"/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AEA09"/>
    <w:multiLevelType w:val="singleLevel"/>
    <w:tmpl w:val="855AEA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D32460"/>
    <w:multiLevelType w:val="singleLevel"/>
    <w:tmpl w:val="CBD32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4834CC"/>
    <w:multiLevelType w:val="singleLevel"/>
    <w:tmpl w:val="D04834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4B93B9"/>
    <w:multiLevelType w:val="singleLevel"/>
    <w:tmpl w:val="D44B93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90F0882"/>
    <w:multiLevelType w:val="singleLevel"/>
    <w:tmpl w:val="290F088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91" w:leftChars="0" w:firstLine="0" w:firstLineChars="0"/>
      </w:pPr>
    </w:lvl>
  </w:abstractNum>
  <w:abstractNum w:abstractNumId="5">
    <w:nsid w:val="65D21A10"/>
    <w:multiLevelType w:val="singleLevel"/>
    <w:tmpl w:val="65D21A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GRkMWJiMzE1ZWY4NWMxMDUyMWEwZDNjNGQ1ZTQifQ=="/>
  </w:docVars>
  <w:rsids>
    <w:rsidRoot w:val="05FE6EC8"/>
    <w:rsid w:val="01635C49"/>
    <w:rsid w:val="03B804CE"/>
    <w:rsid w:val="05F17CC7"/>
    <w:rsid w:val="05FE6EC8"/>
    <w:rsid w:val="072E0AA7"/>
    <w:rsid w:val="0A5627EE"/>
    <w:rsid w:val="0AB87005"/>
    <w:rsid w:val="0B325009"/>
    <w:rsid w:val="0C2C7CAB"/>
    <w:rsid w:val="0CFD51A3"/>
    <w:rsid w:val="0EDB32C2"/>
    <w:rsid w:val="12490E8B"/>
    <w:rsid w:val="13FF3EF7"/>
    <w:rsid w:val="18057602"/>
    <w:rsid w:val="18EB4A4A"/>
    <w:rsid w:val="199E386A"/>
    <w:rsid w:val="1C6B0E64"/>
    <w:rsid w:val="1DB47B00"/>
    <w:rsid w:val="23E7405F"/>
    <w:rsid w:val="29AF561F"/>
    <w:rsid w:val="2A2878AC"/>
    <w:rsid w:val="2AD90BA6"/>
    <w:rsid w:val="2E206AEC"/>
    <w:rsid w:val="2EC35DF5"/>
    <w:rsid w:val="34684D49"/>
    <w:rsid w:val="3656754F"/>
    <w:rsid w:val="38966328"/>
    <w:rsid w:val="39DF785B"/>
    <w:rsid w:val="3A95616C"/>
    <w:rsid w:val="3D1D2B74"/>
    <w:rsid w:val="3E974BA8"/>
    <w:rsid w:val="43D83C99"/>
    <w:rsid w:val="458614D2"/>
    <w:rsid w:val="48166B3E"/>
    <w:rsid w:val="4E105DDD"/>
    <w:rsid w:val="4E257ADB"/>
    <w:rsid w:val="53D63625"/>
    <w:rsid w:val="560A5808"/>
    <w:rsid w:val="5BC00E43"/>
    <w:rsid w:val="63AC5C9F"/>
    <w:rsid w:val="641F4B74"/>
    <w:rsid w:val="647A1DAB"/>
    <w:rsid w:val="673646AF"/>
    <w:rsid w:val="687B40A5"/>
    <w:rsid w:val="6B347157"/>
    <w:rsid w:val="721F5CC8"/>
    <w:rsid w:val="75CD4430"/>
    <w:rsid w:val="7A0917AF"/>
    <w:rsid w:val="7B615D46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2023-11-27T07:03:00Z</dcterms:created>
  <dc:creator>陈婷</dc:creator>
  <cp:lastModifiedBy>张波</cp:lastModifiedBy>
  <cp:lastPrinted>2023-11-29T03:02:00Z</cp:lastPrinted>
  <dcterms:modified xsi:type="dcterms:W3CDTF">2023-11-30T02:04:18Z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3F91E9EC626E41A3ADF7B5D08461BC3A_13</vt:lpwstr>
  </property>
</Properties>
</file>