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10"/>
        <w:jc w:val="center"/>
        <w:rPr>
          <w:rFonts w:ascii="方正小标宋_GBK" w:hAnsi="方正小标宋_GBK" w:eastAsia="方正小标宋_GBK" w:cs="方正小标宋_GBK"/>
          <w:sz w:val="84"/>
          <w:szCs w:val="84"/>
        </w:rPr>
      </w:pPr>
      <w:r>
        <w:rPr>
          <w:rFonts w:hint="eastAsia"/>
          <w:sz w:val="84"/>
          <w:szCs w:val="84"/>
        </w:rPr>
        <w:t>湖南劳动人事职业学院</w:t>
      </w:r>
      <w:r>
        <w:rPr>
          <w:rFonts w:hint="eastAsia" w:ascii="方正小标宋_GBK" w:hAnsi="方正小标宋_GBK" w:eastAsia="方正小标宋_GBK" w:cs="方正小标宋_GBK"/>
          <w:sz w:val="84"/>
          <w:szCs w:val="84"/>
        </w:rPr>
        <w:t>部门决算</w:t>
      </w:r>
    </w:p>
    <w:p>
      <w:pPr>
        <w:pStyle w:val="10"/>
        <w:jc w:val="center"/>
        <w:rPr>
          <w:rFonts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Ansi="黑体"/>
          <w:bCs/>
          <w:sz w:val="28"/>
          <w:szCs w:val="28"/>
        </w:rPr>
      </w:pPr>
      <w:r>
        <w:rPr>
          <w:rFonts w:hint="eastAsia" w:hAnsi="黑体"/>
          <w:bCs/>
          <w:sz w:val="28"/>
          <w:szCs w:val="28"/>
        </w:rPr>
        <w:t>第一部分</w:t>
      </w:r>
      <w:r>
        <w:rPr>
          <w:rFonts w:hint="eastAsia"/>
          <w:b/>
          <w:sz w:val="28"/>
          <w:szCs w:val="28"/>
        </w:rPr>
        <w:t>湖南劳动人事职业学院单位</w:t>
      </w:r>
      <w:r>
        <w:rPr>
          <w:rFonts w:hint="eastAsia" w:hAnsi="黑体"/>
          <w:bCs/>
          <w:sz w:val="28"/>
          <w:szCs w:val="28"/>
        </w:rPr>
        <w:t>概况</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Ansi="黑体"/>
          <w:bCs/>
          <w:sz w:val="28"/>
          <w:szCs w:val="28"/>
        </w:rPr>
      </w:pPr>
      <w:r>
        <w:rPr>
          <w:rFonts w:hint="eastAsia" w:hAnsi="黑体"/>
          <w:bCs/>
          <w:sz w:val="28"/>
          <w:szCs w:val="28"/>
        </w:rPr>
        <w:t>第二部分部门决算表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w:t>
      </w:r>
      <w:bookmarkStart w:id="3" w:name="_GoBack"/>
      <w:bookmarkEnd w:id="3"/>
      <w:r>
        <w:rPr>
          <w:rFonts w:hint="eastAsia" w:ascii="仿宋_GB2312" w:hAnsi="仿宋_GB2312" w:eastAsia="仿宋_GB2312" w:cs="仿宋_GB2312"/>
          <w:sz w:val="28"/>
          <w:szCs w:val="28"/>
        </w:rPr>
        <w:t>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Ansi="黑体"/>
          <w:bCs/>
          <w:sz w:val="28"/>
          <w:szCs w:val="28"/>
        </w:rPr>
      </w:pPr>
      <w:r>
        <w:rPr>
          <w:rFonts w:hint="eastAsia" w:hAnsi="黑体"/>
          <w:bCs/>
          <w:sz w:val="28"/>
          <w:szCs w:val="28"/>
        </w:rPr>
        <w:t>第三部分部门决算情况说明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Ansi="黑体"/>
          <w:bCs/>
          <w:sz w:val="28"/>
          <w:szCs w:val="28"/>
        </w:rPr>
      </w:pPr>
      <w:r>
        <w:rPr>
          <w:rFonts w:hint="eastAsia" w:hAnsi="黑体"/>
          <w:bCs/>
          <w:sz w:val="28"/>
          <w:szCs w:val="28"/>
        </w:rPr>
        <w:t>第四部分名词解释</w:t>
      </w:r>
    </w:p>
    <w:p>
      <w:pPr>
        <w:pStyle w:val="10"/>
        <w:jc w:val="center"/>
        <w:rPr>
          <w:rFonts w:hint="eastAsia"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湖南劳动人事职业学院坐落于国家级长沙经济技术开发区星沙产业基地开元东路1319号，隶属湖南省人力资源和社会保障厅，专科层次的高等职业院校，事业编制195人，在职教职工358人，其中专任教师249人，副高及以上职称教师47人，离退休人员95人（其中离休1人），2022年年末在校学生9906人。</w:t>
      </w:r>
    </w:p>
    <w:p>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（1）学院以人才培养为根本任务，积极开展教育教学、科学研究、社会服务和文化传承与创新活动。</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（2）学院依法招收学生，对学生实施教育。</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学院主要教育形式为全日制学历教育，辅以继续教育、非学历教育和社会培训。以全日制专科层次的高等职业教育为主，大力推进中高职衔接，努力发展本科层次职业教育。</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（3）学院根据国家经济、社会发展需要和自身办学实际，依法确定和调整办学层次、规模和形式，自主设置和调整专业。</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（4）学院自主组织教育教学活动，制定人才培养方案，建立健全教学质量的动态监控和管理制度，实行教学督导制度，教学工作考评制度，完善人才培养质量评价制度，确保教育教学质量。</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（5）学院依法依规对完成学业的学生颁发学历证书。</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（6）学院积极鼓励支持教师个人和团队开展教育教学改革和科学研究活动，科学制定教研教改和科研管理制度，对各类各级教研教改、科研项目和经费实施专项管理，确保教改和科研工作顺利进行。</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（7）学院大力推进产教融合、校企合作，积极开展校企双主体育人工作，深入开展产、学、研合作，本着服务、双赢的原则，不断探索校企合作有效模式，充分发展公共实训基地功能。</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（8）学院按照国家有关规定，自主开展与国（境）内外高校、学术机构之间的交流与合作。</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（9）学院加强中国特色社会主义理论体系教育，培育和践行社会主义核心价值观，建设具有时代特征和学院特色的大学文化，用先进文化引领人才培养、科学研究和社会服务。</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院设有党政办公室、组织人事处、宣传统战部、计划财务处、纪检监察室、教务处、学生工作处、院团委、科研与发展规划处、继续教育部、招生就业处、安全保卫处、后勤保障服务中心、采购与资产管理处、信息化与网络安全中心（筹）、职业训练院、工会等17个处室及人力资源与社会保障系、机电工程系、质量与信息技术系、商贸旅游系、基础课部、思政课部等四系两部。开设人力资源管理、老年服务与管理、理化测试与质检技术、大数据技术与应用、工业机器人技术、供热通风与空调工程技术、机械制造与自动化、电气自动化技术、财务管理、网络营销、移动技术开发、社区管理与服务、幼儿发展与健康管理等21个专业，206个教学班。</w:t>
      </w:r>
    </w:p>
    <w:p>
      <w:pPr>
        <w:widowControl/>
        <w:numPr>
          <w:ilvl w:val="0"/>
          <w:numId w:val="2"/>
        </w:numPr>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湖南劳动人事职业学院2022年部门决算汇总公开单位构成包括：湖南劳动人事职业学院本级，无下属预算单位。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927"/>
        <w:gridCol w:w="90"/>
        <w:gridCol w:w="1242"/>
        <w:gridCol w:w="240"/>
        <w:gridCol w:w="1407"/>
        <w:gridCol w:w="401"/>
        <w:gridCol w:w="1407"/>
        <w:gridCol w:w="401"/>
        <w:gridCol w:w="1407"/>
        <w:gridCol w:w="401"/>
        <w:gridCol w:w="1407"/>
        <w:gridCol w:w="401"/>
        <w:gridCol w:w="1408"/>
        <w:gridCol w:w="401"/>
        <w:gridCol w:w="1408"/>
        <w:gridCol w:w="2480"/>
      </w:tblGrid>
      <w:tr>
        <w:tblPrEx>
          <w:tblCellMar>
            <w:top w:w="0" w:type="dxa"/>
            <w:left w:w="0" w:type="dxa"/>
            <w:bottom w:w="0" w:type="dxa"/>
            <w:right w:w="0" w:type="dxa"/>
          </w:tblCellMar>
        </w:tblPrEx>
        <w:trPr>
          <w:trHeight w:val="435" w:hRule="atLeast"/>
        </w:trPr>
        <w:tc>
          <w:tcPr>
            <w:tcW w:w="15428" w:type="dxa"/>
            <w:gridSpan w:val="16"/>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78" w:type="dxa"/>
              <w:tblInd w:w="0" w:type="dxa"/>
              <w:tblLayout w:type="fixed"/>
              <w:tblCellMar>
                <w:top w:w="0" w:type="dxa"/>
                <w:left w:w="108" w:type="dxa"/>
                <w:bottom w:w="0" w:type="dxa"/>
                <w:right w:w="108" w:type="dxa"/>
              </w:tblCellMar>
            </w:tblPr>
            <w:tblGrid>
              <w:gridCol w:w="4094"/>
              <w:gridCol w:w="571"/>
              <w:gridCol w:w="1301"/>
              <w:gridCol w:w="4636"/>
              <w:gridCol w:w="1570"/>
              <w:gridCol w:w="673"/>
              <w:gridCol w:w="1289"/>
              <w:gridCol w:w="1244"/>
            </w:tblGrid>
            <w:tr>
              <w:tblPrEx>
                <w:tblCellMar>
                  <w:top w:w="0" w:type="dxa"/>
                  <w:left w:w="108" w:type="dxa"/>
                  <w:bottom w:w="0" w:type="dxa"/>
                  <w:right w:w="108" w:type="dxa"/>
                </w:tblCellMar>
              </w:tblPrEx>
              <w:trPr>
                <w:trHeight w:val="311" w:hRule="atLeast"/>
              </w:trPr>
              <w:tc>
                <w:tcPr>
                  <w:tcW w:w="4094"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571"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01"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636"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243"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533" w:type="dxa"/>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22" w:hRule="atLeast"/>
              </w:trPr>
              <w:tc>
                <w:tcPr>
                  <w:tcW w:w="15378"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11" w:hRule="atLeast"/>
              </w:trPr>
              <w:tc>
                <w:tcPr>
                  <w:tcW w:w="4094"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7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0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63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243"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53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11" w:hRule="atLeast"/>
              </w:trPr>
              <w:tc>
                <w:tcPr>
                  <w:tcW w:w="4094"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部门：湖南劳动人事职业学院</w:t>
                  </w:r>
                </w:p>
              </w:tc>
              <w:tc>
                <w:tcPr>
                  <w:tcW w:w="57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0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63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243"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53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44" w:type="dxa"/>
                <w:trHeight w:val="456" w:hRule="atLeast"/>
              </w:trPr>
              <w:tc>
                <w:tcPr>
                  <w:tcW w:w="59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816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244" w:type="dxa"/>
                <w:trHeight w:val="63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8830.72</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5290.86</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10846.79</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867.47</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73.09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552.00</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14194.67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12266.26</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44" w:type="dxa"/>
                <w:trHeight w:val="63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84.21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2012.62</w:t>
                  </w:r>
                </w:p>
              </w:tc>
            </w:tr>
            <w:tr>
              <w:tblPrEx>
                <w:tblCellMar>
                  <w:top w:w="0" w:type="dxa"/>
                  <w:left w:w="108" w:type="dxa"/>
                  <w:bottom w:w="0" w:type="dxa"/>
                  <w:right w:w="108" w:type="dxa"/>
                </w:tblCellMar>
              </w:tblPrEx>
              <w:trPr>
                <w:gridAfter w:val="1"/>
                <w:wAfter w:w="1244" w:type="dxa"/>
                <w:trHeight w:val="456" w:hRule="atLeast"/>
              </w:trPr>
              <w:tc>
                <w:tcPr>
                  <w:tcW w:w="4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b/>
                      <w:bCs/>
                      <w:color w:val="000000"/>
                      <w:sz w:val="22"/>
                    </w:rPr>
                    <w:t>14278.88</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2"/>
                    </w:rPr>
                  </w:pPr>
                  <w:r>
                    <w:rPr>
                      <w:rFonts w:hint="eastAsia" w:ascii="宋体" w:hAnsi="宋体" w:eastAsia="宋体" w:cs="宋体"/>
                      <w:b/>
                      <w:color w:val="000000"/>
                      <w:sz w:val="22"/>
                    </w:rPr>
                    <w:t>14278.88</w:t>
                  </w:r>
                </w:p>
              </w:tc>
            </w:tr>
            <w:tr>
              <w:tblPrEx>
                <w:tblCellMar>
                  <w:top w:w="0" w:type="dxa"/>
                  <w:left w:w="108" w:type="dxa"/>
                  <w:bottom w:w="0" w:type="dxa"/>
                  <w:right w:w="108" w:type="dxa"/>
                </w:tblCellMar>
              </w:tblPrEx>
              <w:trPr>
                <w:trHeight w:val="1021" w:hRule="atLeast"/>
              </w:trPr>
              <w:tc>
                <w:tcPr>
                  <w:tcW w:w="15378"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429" w:hRule="atLeast"/>
        </w:trPr>
        <w:tc>
          <w:tcPr>
            <w:tcW w:w="927"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979" w:type="dxa"/>
            <w:gridSpan w:val="4"/>
            <w:tcBorders>
              <w:top w:val="nil"/>
              <w:left w:val="nil"/>
              <w:bottom w:val="nil"/>
              <w:right w:val="nil"/>
            </w:tcBorders>
            <w:shd w:val="clear" w:color="000000" w:fill="FFFFFF"/>
            <w:noWrap/>
            <w:tcMar>
              <w:top w:w="15" w:type="dxa"/>
              <w:left w:w="15" w:type="dxa"/>
              <w:bottom w:w="0" w:type="dxa"/>
              <w:right w:w="15" w:type="dxa"/>
            </w:tcMar>
            <w:vAlign w:val="bottom"/>
          </w:tcPr>
          <w:p>
            <w:pPr>
              <w:rPr>
                <w:rFonts w:ascii="宋体" w:hAnsi="宋体" w:eastAsia="宋体" w:cs="宋体"/>
                <w:sz w:val="24"/>
                <w:szCs w:val="24"/>
              </w:rPr>
            </w:pPr>
            <w:r>
              <w:rPr>
                <w:rFonts w:hint="eastAsia"/>
              </w:rPr>
              <w:t>湖南劳动人事职业学院</w:t>
            </w:r>
          </w:p>
          <w:p>
            <w:pPr>
              <w:rPr>
                <w:rFonts w:ascii="宋体" w:hAnsi="宋体" w:eastAsia="宋体" w:cs="宋体"/>
                <w:sz w:val="24"/>
                <w:szCs w:val="24"/>
              </w:rPr>
            </w:pP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2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32"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2"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4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2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14194.67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8830.72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5290.86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73.09　</w:t>
            </w:r>
          </w:p>
        </w:tc>
      </w:tr>
      <w:tr>
        <w:tblPrEx>
          <w:tblCellMar>
            <w:top w:w="0" w:type="dxa"/>
            <w:left w:w="0" w:type="dxa"/>
            <w:bottom w:w="0" w:type="dxa"/>
            <w:right w:w="0" w:type="dxa"/>
          </w:tblCellMar>
        </w:tblPrEx>
        <w:trPr>
          <w:trHeight w:val="354"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2050302　</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中等职业教育</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15.63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15.63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2050303　</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技校教育</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0.10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sz w:val="24"/>
                <w:szCs w:val="24"/>
              </w:rPr>
            </w:pPr>
            <w:r>
              <w:rPr>
                <w:rFonts w:hint="eastAsia" w:asciiTheme="minorEastAsia" w:hAnsiTheme="minorEastAsia" w:cstheme="minorEastAsia"/>
              </w:rPr>
              <w:t>0.10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2050305　</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高等职业教育</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12764.19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8350.89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4340.31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72.99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2080199</w:t>
            </w:r>
          </w:p>
          <w:p>
            <w:pPr>
              <w:rPr>
                <w:rFonts w:ascii="宋体" w:hAnsi="宋体" w:cs="宋体"/>
                <w:sz w:val="24"/>
                <w:szCs w:val="24"/>
              </w:rPr>
            </w:pP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其他人力资源和社会保障管理事务支出　</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2080505　</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机关事业单位基本养老保险缴费支出</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840.55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242.00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598.55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2080799</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其他就业补助支出</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20.40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20.40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133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164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552.00</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200.00</w:t>
            </w: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8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352.00</w:t>
            </w: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80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br w:type="page"/>
      </w:r>
    </w:p>
    <w:tbl>
      <w:tblPr>
        <w:tblStyle w:val="5"/>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湖南劳动人事职业学院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12266.26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8134.21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4132.05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2050302　</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中等职业教育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15.63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15.63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2050303　</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技校教育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2050305　</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高等职业教育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10829.96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6741.66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4088.30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2080199</w:t>
            </w:r>
          </w:p>
          <w:p>
            <w:pPr>
              <w:rPr>
                <w:rFonts w:ascii="宋体" w:hAnsi="宋体" w:cs="宋体"/>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其他人力资源和社会保障管理事务支出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2080505　</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840.55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840.55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2080799</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ascii="宋体" w:hAnsi="宋体" w:eastAsia="宋体" w:cs="宋体"/>
                <w:sz w:val="24"/>
                <w:szCs w:val="24"/>
              </w:rPr>
              <w:t>其他就业补助支出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25.12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25.12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2210201</w:t>
            </w:r>
          </w:p>
        </w:tc>
        <w:tc>
          <w:tcPr>
            <w:tcW w:w="1481" w:type="dxa"/>
            <w:tcBorders>
              <w:top w:val="nil"/>
              <w:left w:val="nil"/>
              <w:bottom w:val="single" w:color="auto" w:sz="4" w:space="0"/>
              <w:right w:val="single" w:color="auto" w:sz="4" w:space="0"/>
            </w:tcBorders>
            <w:shd w:val="clear" w:color="000000" w:fill="FFFFFF"/>
            <w:noWrap/>
            <w:vAlign w:val="center"/>
          </w:tcPr>
          <w:p>
            <w:r>
              <w:rPr>
                <w:rFonts w:hint="eastAsia"/>
              </w:rPr>
              <w:t>住房公积金</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8830.72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6449.81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6449.81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268.92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268.92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6918.73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6918.73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82.11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1994.09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1994.09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82.11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8912.83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8912.83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8912.83</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6918.73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3468.51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3450.22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2050302　</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15.63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15.63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2050305　</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高等职业教育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6434.18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3026.51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3407.67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2080199</w:t>
            </w:r>
          </w:p>
          <w:p>
            <w:pPr>
              <w:rPr>
                <w:rFonts w:ascii="宋体" w:hAnsi="宋体" w:cs="宋体"/>
                <w:sz w:val="24"/>
                <w:szCs w:val="24"/>
              </w:rPr>
            </w:pP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其他人力资源和社会保障管理事务支出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2080505　</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242.00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242.00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2080799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其他就业补助支出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25.12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25.12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2210201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200.00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tbl>
      <w:tblPr>
        <w:tblStyle w:val="5"/>
        <w:tblW w:w="0" w:type="auto"/>
        <w:tblInd w:w="0" w:type="dxa"/>
        <w:tblLayout w:type="autofit"/>
        <w:tblCellMar>
          <w:top w:w="0" w:type="dxa"/>
          <w:left w:w="108" w:type="dxa"/>
          <w:bottom w:w="0" w:type="dxa"/>
          <w:right w:w="108" w:type="dxa"/>
        </w:tblCellMar>
      </w:tblPr>
      <w:tblGrid>
        <w:gridCol w:w="937"/>
        <w:gridCol w:w="238"/>
        <w:gridCol w:w="88"/>
        <w:gridCol w:w="1215"/>
        <w:gridCol w:w="1905"/>
        <w:gridCol w:w="98"/>
        <w:gridCol w:w="948"/>
        <w:gridCol w:w="1139"/>
        <w:gridCol w:w="287"/>
        <w:gridCol w:w="1855"/>
        <w:gridCol w:w="164"/>
        <w:gridCol w:w="778"/>
        <w:gridCol w:w="1140"/>
        <w:gridCol w:w="331"/>
        <w:gridCol w:w="1961"/>
        <w:gridCol w:w="1588"/>
        <w:gridCol w:w="574"/>
        <w:gridCol w:w="368"/>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湖南劳动人事职业学院公开06表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2791.199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506.000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592.91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288.37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60.21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1186.00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60.00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132.46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9.00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68.46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60.00</w:t>
            </w:r>
          </w:p>
          <w:p>
            <w:pPr>
              <w:widowControl/>
              <w:jc w:val="lef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217.00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11.80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230.67</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160.31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171.32</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13.34</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16.93</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7.27</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0.83</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8.50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13.65</w:t>
            </w:r>
          </w:p>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.35</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120.00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99.21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11.59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2962.51</w:t>
            </w:r>
          </w:p>
        </w:tc>
        <w:tc>
          <w:tcPr>
            <w:tcW w:w="929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506.000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352" w:type="dxa"/>
          <w:trHeight w:val="690" w:hRule="atLeast"/>
        </w:trPr>
        <w:tc>
          <w:tcPr>
            <w:tcW w:w="15262"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352" w:type="dxa"/>
          <w:trHeight w:val="345" w:hRule="atLeast"/>
        </w:trPr>
        <w:tc>
          <w:tcPr>
            <w:tcW w:w="947"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17"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343"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3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8"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83"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5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352" w:type="dxa"/>
          <w:trHeight w:val="690" w:hRule="atLeast"/>
        </w:trPr>
        <w:tc>
          <w:tcPr>
            <w:tcW w:w="947"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574" w:type="dxa"/>
            <w:gridSpan w:val="5"/>
            <w:tcBorders>
              <w:top w:val="nil"/>
              <w:left w:val="nil"/>
              <w:bottom w:val="nil"/>
              <w:right w:val="nil"/>
            </w:tcBorders>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湖南劳动人事职业学院</w:t>
            </w:r>
          </w:p>
        </w:tc>
        <w:tc>
          <w:tcPr>
            <w:tcW w:w="2343"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3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8"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83"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5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52" w:type="dxa"/>
          <w:trHeight w:val="459" w:hRule="atLeast"/>
        </w:trPr>
        <w:tc>
          <w:tcPr>
            <w:tcW w:w="2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4"/>
                <w:rFonts w:hint="default"/>
              </w:rPr>
              <w:t>目</w:t>
            </w:r>
          </w:p>
        </w:tc>
        <w:tc>
          <w:tcPr>
            <w:tcW w:w="20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3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352" w:type="dxa"/>
          <w:trHeight w:val="609"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409"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2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352" w:type="dxa"/>
          <w:trHeight w:val="509" w:hRule="atLeast"/>
        </w:trPr>
        <w:tc>
          <w:tcPr>
            <w:tcW w:w="2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509"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2" w:type="dxa"/>
          <w:trHeight w:val="725" w:hRule="atLeast"/>
        </w:trPr>
        <w:tc>
          <w:tcPr>
            <w:tcW w:w="15262"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308"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湖南劳动人事职业学院</w:t>
            </w: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5"/>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783"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湖南劳动人事职业学院</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ascii="方正小标宋_GBK" w:hAnsi="方正小标宋_GBK" w:eastAsia="方正小标宋_GBK" w:cs="方正小标宋_GBK"/>
          <w:sz w:val="70"/>
          <w:szCs w:val="70"/>
        </w:rPr>
      </w:pPr>
    </w:p>
    <w:p>
      <w:pPr>
        <w:pStyle w:val="10"/>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br w:type="page"/>
      </w:r>
    </w:p>
    <w:p>
      <w:pPr>
        <w:pStyle w:val="10"/>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2022年度收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14194.67万元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出总计</w:t>
      </w:r>
      <w:r>
        <w:rPr>
          <w:rFonts w:hint="eastAsia" w:ascii="Times New Roman" w:hAnsi="Times New Roman" w:eastAsia="仿宋_GB2312"/>
          <w:sz w:val="32"/>
          <w:szCs w:val="32"/>
          <w:lang w:val="en-US" w:eastAsia="zh-CN"/>
        </w:rPr>
        <w:t>12266.26万元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3265.97万</w:t>
      </w:r>
      <w:r>
        <w:rPr>
          <w:rFonts w:hint="eastAsia" w:ascii="Times New Roman" w:hAnsi="Times New Roman" w:eastAsia="仿宋_GB2312"/>
          <w:sz w:val="32"/>
          <w:szCs w:val="32"/>
        </w:rPr>
        <w:t>元，增长</w:t>
      </w:r>
      <w:r>
        <w:rPr>
          <w:rFonts w:hint="eastAsia" w:ascii="Times New Roman" w:hAnsi="Times New Roman" w:eastAsia="仿宋_GB2312"/>
          <w:sz w:val="32"/>
          <w:szCs w:val="32"/>
          <w:lang w:val="en-US" w:eastAsia="zh-CN"/>
        </w:rPr>
        <w:t>29.88</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增加了一般预算公共拨款（高职生均拨款、学生资助专项资金、高校“十四五”基建专项资金）及纳入专户管理的非税收入使用数。</w:t>
      </w:r>
    </w:p>
    <w:p>
      <w:pPr>
        <w:pStyle w:val="10"/>
        <w:spacing w:line="600" w:lineRule="exact"/>
        <w:ind w:firstLine="640" w:firstLineChars="200"/>
        <w:rPr>
          <w:rFonts w:hAnsi="黑体"/>
          <w:bCs/>
          <w:sz w:val="32"/>
          <w:szCs w:val="32"/>
        </w:rPr>
      </w:pPr>
      <w:r>
        <w:rPr>
          <w:rFonts w:hint="eastAsia" w:hAnsi="黑体"/>
          <w:bCs/>
          <w:sz w:val="32"/>
          <w:szCs w:val="32"/>
        </w:rPr>
        <w:t>二、收入决算情况说明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w:t>
      </w:r>
      <w:r>
        <w:rPr>
          <w:rFonts w:hint="eastAsia" w:ascii="仿宋" w:hAnsi="仿宋" w:eastAsia="仿宋"/>
          <w:sz w:val="32"/>
          <w:szCs w:val="32"/>
        </w:rPr>
        <w:t>14194.67</w:t>
      </w:r>
      <w:r>
        <w:rPr>
          <w:rFonts w:hint="eastAsia" w:ascii="Times New Roman" w:hAnsi="Times New Roman" w:eastAsia="仿宋_GB2312"/>
          <w:sz w:val="32"/>
          <w:szCs w:val="32"/>
        </w:rPr>
        <w:t>万元，其中：财政拨款收入8830.72万元，占62.22%；上级补助收入0万元，占0%；事业收入5290.86万元，占37.27%；经营收入0万元，占0%；附属单位上缴收入0万元，占0%；其他收入73.09万元，占0.51%。</w:t>
      </w:r>
    </w:p>
    <w:p>
      <w:pPr>
        <w:pStyle w:val="10"/>
        <w:spacing w:line="600" w:lineRule="exact"/>
        <w:ind w:firstLine="640" w:firstLineChars="200"/>
        <w:rPr>
          <w:rFonts w:hAnsi="黑体"/>
          <w:bCs/>
          <w:sz w:val="32"/>
          <w:szCs w:val="32"/>
        </w:rPr>
      </w:pPr>
      <w:r>
        <w:rPr>
          <w:rFonts w:hint="eastAsia" w:hAnsi="黑体"/>
          <w:bCs/>
          <w:sz w:val="32"/>
          <w:szCs w:val="32"/>
        </w:rPr>
        <w:t>三、支出决算情况说明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2022年度支出合计12266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26万元，其中：基本支出8134.21万元，占66.31%；项目支出4132.05万元，占33.69%；上缴上级支出0万元，占0%；经营支出0万元，占0%；对附属单位补助支出0万元，占0%。</w:t>
      </w:r>
    </w:p>
    <w:p>
      <w:pPr>
        <w:pStyle w:val="1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0"/>
        <w:spacing w:line="600" w:lineRule="exact"/>
        <w:rPr>
          <w:rFonts w:hint="default" w:ascii="Times New Roman" w:hAnsi="Times New Roman" w:eastAsia="仿宋_GB2312"/>
          <w:sz w:val="32"/>
          <w:szCs w:val="32"/>
          <w:lang w:val="en-US"/>
        </w:rPr>
      </w:pPr>
      <w:r>
        <w:rPr>
          <w:rFonts w:hint="eastAsia" w:ascii="Times New Roman" w:hAnsi="Times New Roman" w:eastAsia="仿宋_GB2312"/>
          <w:sz w:val="32"/>
          <w:szCs w:val="32"/>
        </w:rPr>
        <w:t xml:space="preserve">    2022年度财政拨款收</w:t>
      </w:r>
      <w:r>
        <w:rPr>
          <w:rFonts w:hint="eastAsia" w:ascii="Times New Roman" w:hAnsi="Times New Roman" w:eastAsia="仿宋_GB2312"/>
          <w:sz w:val="32"/>
          <w:szCs w:val="32"/>
          <w:lang w:eastAsia="zh-CN"/>
        </w:rPr>
        <w:t>入总计为</w:t>
      </w:r>
      <w:r>
        <w:rPr>
          <w:rFonts w:hint="eastAsia" w:ascii="Times New Roman" w:hAnsi="Times New Roman" w:eastAsia="仿宋_GB2312"/>
          <w:sz w:val="32"/>
          <w:szCs w:val="32"/>
          <w:lang w:val="en-US" w:eastAsia="zh-CN"/>
        </w:rPr>
        <w:t>8830.72万元，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6918.73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2010.83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29.48</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增加了高职生均拨款、学生资助专项资金、高校“十四五”基建专项资金，支出减少了</w:t>
      </w:r>
      <w:r>
        <w:rPr>
          <w:rFonts w:hint="eastAsia" w:ascii="Times New Roman" w:hAnsi="Times New Roman" w:eastAsia="仿宋_GB2312"/>
          <w:sz w:val="32"/>
          <w:szCs w:val="32"/>
          <w:lang w:val="en-US" w:eastAsia="zh-CN"/>
        </w:rPr>
        <w:t>1066.21万元，减少13.46%。主要原因一是</w:t>
      </w:r>
      <w:r>
        <w:rPr>
          <w:rFonts w:hint="eastAsia" w:ascii="Times New Roman" w:hAnsi="Times New Roman" w:eastAsia="仿宋_GB2312"/>
          <w:sz w:val="32"/>
          <w:szCs w:val="32"/>
          <w:lang w:eastAsia="zh-CN"/>
        </w:rPr>
        <w:t>高职生均拨款下达时间较晚（</w:t>
      </w:r>
      <w:r>
        <w:rPr>
          <w:rFonts w:hint="eastAsia" w:ascii="Times New Roman" w:hAnsi="Times New Roman" w:eastAsia="仿宋_GB2312"/>
          <w:sz w:val="32"/>
          <w:szCs w:val="32"/>
          <w:lang w:val="en-US" w:eastAsia="zh-CN"/>
        </w:rPr>
        <w:t>2022年12月26日下达），二是高校“十四五”基建等部分专项项目还在建设期未完工。</w:t>
      </w:r>
    </w:p>
    <w:p>
      <w:pPr>
        <w:pStyle w:val="10"/>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6918.73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56.40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1066.21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13.46</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主要原因一是</w:t>
      </w:r>
      <w:r>
        <w:rPr>
          <w:rFonts w:hint="eastAsia" w:ascii="Times New Roman" w:hAnsi="Times New Roman" w:eastAsia="仿宋_GB2312"/>
          <w:sz w:val="32"/>
          <w:szCs w:val="32"/>
          <w:lang w:eastAsia="zh-CN"/>
        </w:rPr>
        <w:t>高职生均拨款下达时间较晚（</w:t>
      </w:r>
      <w:r>
        <w:rPr>
          <w:rFonts w:hint="eastAsia" w:ascii="Times New Roman" w:hAnsi="Times New Roman" w:eastAsia="仿宋_GB2312"/>
          <w:sz w:val="32"/>
          <w:szCs w:val="32"/>
          <w:lang w:val="en-US" w:eastAsia="zh-CN"/>
        </w:rPr>
        <w:t>2022年12月26日下达），二是高校“十四五”基建等部分专项项目还在建设期未完工。</w:t>
      </w:r>
    </w:p>
    <w:p>
      <w:pPr>
        <w:pStyle w:val="1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6918.73</w:t>
      </w:r>
      <w:r>
        <w:rPr>
          <w:rFonts w:hint="eastAsia" w:ascii="Times New Roman" w:hAnsi="Times New Roman" w:eastAsia="仿宋_GB2312"/>
          <w:sz w:val="32"/>
          <w:szCs w:val="32"/>
        </w:rPr>
        <w:t>万元，主要用于以下方面：教育（类）支出</w:t>
      </w:r>
      <w:r>
        <w:rPr>
          <w:rFonts w:hint="eastAsia" w:ascii="Times New Roman" w:hAnsi="Times New Roman" w:eastAsia="仿宋_GB2312"/>
          <w:sz w:val="32"/>
          <w:szCs w:val="32"/>
          <w:lang w:val="en-US" w:eastAsia="zh-CN"/>
        </w:rPr>
        <w:t>6449.81</w:t>
      </w:r>
      <w:r>
        <w:rPr>
          <w:rFonts w:hint="eastAsia" w:ascii="Times New Roman" w:hAnsi="Times New Roman" w:eastAsia="仿宋_GB2312"/>
          <w:sz w:val="32"/>
          <w:szCs w:val="32"/>
        </w:rPr>
        <w:t>万元，占9</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268.92万元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3.89</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2.89</w:t>
      </w:r>
      <w:r>
        <w:rPr>
          <w:rFonts w:hint="eastAsia" w:ascii="Times New Roman" w:hAnsi="Times New Roman" w:eastAsia="仿宋_GB2312"/>
          <w:sz w:val="32"/>
          <w:szCs w:val="32"/>
        </w:rPr>
        <w:t>占%。</w:t>
      </w:r>
    </w:p>
    <w:p>
      <w:pPr>
        <w:pStyle w:val="1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w:t>
      </w:r>
      <w:r>
        <w:rPr>
          <w:rFonts w:hint="eastAsia" w:ascii="Times New Roman" w:hAnsi="Times New Roman" w:eastAsia="仿宋_GB2312"/>
          <w:sz w:val="32"/>
          <w:szCs w:val="32"/>
          <w:lang w:val="en-US" w:eastAsia="zh-CN"/>
        </w:rPr>
        <w:t>4800.17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6918.73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144.14</w:t>
      </w:r>
      <w:r>
        <w:rPr>
          <w:rFonts w:hint="eastAsia" w:ascii="Times New Roman" w:hAnsi="Times New Roman" w:eastAsia="仿宋_GB2312"/>
          <w:sz w:val="32"/>
          <w:szCs w:val="32"/>
        </w:rPr>
        <w:t>%，其中：</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1、教育支出</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4358.17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6449.81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147.98%</w:t>
      </w:r>
      <w:r>
        <w:rPr>
          <w:rFonts w:hint="eastAsia" w:ascii="Times New Roman" w:hAnsi="Times New Roman" w:eastAsia="仿宋_GB2312"/>
          <w:sz w:val="32"/>
          <w:szCs w:val="32"/>
        </w:rPr>
        <w:t>，决算数大于年初预算数的主要原因是：年中追加了高职生均拨款资金、学生奖助学金等共计</w:t>
      </w:r>
      <w:r>
        <w:rPr>
          <w:rFonts w:hint="eastAsia" w:ascii="Times New Roman" w:hAnsi="Times New Roman" w:eastAsia="仿宋_GB2312"/>
          <w:sz w:val="32"/>
          <w:szCs w:val="32"/>
          <w:lang w:val="en-US" w:eastAsia="zh-CN"/>
        </w:rPr>
        <w:t>2286.18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，上年结余</w:t>
      </w:r>
      <w:r>
        <w:rPr>
          <w:rFonts w:hint="eastAsia" w:ascii="Times New Roman" w:hAnsi="Times New Roman" w:eastAsia="仿宋_GB2312"/>
          <w:sz w:val="32"/>
          <w:szCs w:val="32"/>
          <w:lang w:val="en-US" w:eastAsia="zh-CN"/>
        </w:rPr>
        <w:t>1209.37万元</w:t>
      </w:r>
      <w:r>
        <w:rPr>
          <w:rFonts w:hint="eastAsia" w:ascii="Times New Roman" w:hAnsi="Times New Roman" w:eastAsia="仿宋_GB2312"/>
          <w:sz w:val="32"/>
          <w:szCs w:val="32"/>
        </w:rPr>
        <w:t>。</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2、社会保障和就业支出</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268.92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111.12</w:t>
      </w:r>
      <w:r>
        <w:rPr>
          <w:rFonts w:hint="eastAsia" w:ascii="Times New Roman" w:hAnsi="Times New Roman" w:eastAsia="仿宋_GB2312"/>
          <w:sz w:val="32"/>
          <w:szCs w:val="32"/>
        </w:rPr>
        <w:t>%，决算数大于年初预算数的主要原因是：年中追加了其他人力资源和社会保障管理事务支出、校园招聘活动一次性补助资金</w:t>
      </w:r>
      <w:r>
        <w:rPr>
          <w:rFonts w:hint="eastAsia" w:ascii="Times New Roman" w:hAnsi="Times New Roman" w:eastAsia="仿宋_GB2312"/>
          <w:sz w:val="32"/>
          <w:szCs w:val="32"/>
          <w:lang w:eastAsia="zh-CN"/>
        </w:rPr>
        <w:t>共</w:t>
      </w:r>
      <w:r>
        <w:rPr>
          <w:rFonts w:hint="eastAsia" w:ascii="Times New Roman" w:hAnsi="Times New Roman" w:eastAsia="仿宋_GB2312"/>
          <w:sz w:val="32"/>
          <w:szCs w:val="32"/>
        </w:rPr>
        <w:t>计</w:t>
      </w:r>
      <w:r>
        <w:rPr>
          <w:rFonts w:hint="eastAsia" w:ascii="Times New Roman" w:hAnsi="Times New Roman" w:eastAsia="仿宋_GB2312"/>
          <w:sz w:val="32"/>
          <w:szCs w:val="32"/>
          <w:lang w:val="en-US" w:eastAsia="zh-CN"/>
        </w:rPr>
        <w:t>22.20</w:t>
      </w:r>
      <w:r>
        <w:rPr>
          <w:rFonts w:hint="eastAsia" w:ascii="Times New Roman" w:hAnsi="Times New Roman" w:eastAsia="仿宋_GB2312"/>
          <w:sz w:val="32"/>
          <w:szCs w:val="32"/>
        </w:rPr>
        <w:t>万元，上年结余</w:t>
      </w:r>
      <w:r>
        <w:rPr>
          <w:rFonts w:hint="eastAsia" w:ascii="Times New Roman" w:hAnsi="Times New Roman" w:eastAsia="仿宋_GB2312"/>
          <w:sz w:val="32"/>
          <w:szCs w:val="32"/>
          <w:lang w:val="en-US" w:eastAsia="zh-CN"/>
        </w:rPr>
        <w:t>25.12</w:t>
      </w:r>
      <w:r>
        <w:rPr>
          <w:rFonts w:hint="eastAsia" w:ascii="Times New Roman" w:hAnsi="Times New Roman" w:eastAsia="仿宋_GB2312"/>
          <w:sz w:val="32"/>
          <w:szCs w:val="32"/>
        </w:rPr>
        <w:t>万元。</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3、住房保障支出</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0万元，支出决算为2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0万元，完成年初预算的100%，</w:t>
      </w:r>
    </w:p>
    <w:p>
      <w:pPr>
        <w:pStyle w:val="10"/>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w:t>
      </w:r>
      <w:r>
        <w:rPr>
          <w:rFonts w:hint="eastAsia" w:ascii="Times New Roman" w:hAnsi="Times New Roman" w:eastAsia="仿宋_GB2312"/>
          <w:sz w:val="32"/>
          <w:szCs w:val="32"/>
          <w:lang w:val="en-US" w:eastAsia="zh-CN"/>
        </w:rPr>
        <w:t>3468.51</w:t>
      </w:r>
      <w:r>
        <w:rPr>
          <w:rFonts w:hint="eastAsia" w:ascii="Times New Roman" w:hAnsi="Times New Roman" w:eastAsia="仿宋_GB2312"/>
          <w:sz w:val="32"/>
          <w:szCs w:val="32"/>
        </w:rPr>
        <w:t>万元，其中：</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2962.51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85.41</w:t>
      </w:r>
      <w:r>
        <w:rPr>
          <w:rFonts w:hint="eastAsia" w:ascii="Times New Roman" w:hAnsi="Times New Roman" w:eastAsia="仿宋_GB2312"/>
          <w:sz w:val="32"/>
          <w:szCs w:val="32"/>
        </w:rPr>
        <w:t>%,主要包括基本工资、津贴补贴、奖金、伙食补助费、绩效工资、住房公积金，离退休人员工资、医疗费、学生奖助学金等，公用经费</w:t>
      </w:r>
      <w:r>
        <w:rPr>
          <w:rFonts w:hint="eastAsia" w:ascii="Times New Roman" w:hAnsi="Times New Roman" w:eastAsia="仿宋_GB2312"/>
          <w:sz w:val="32"/>
          <w:szCs w:val="32"/>
          <w:lang w:val="en-US" w:eastAsia="zh-CN"/>
        </w:rPr>
        <w:t>506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14.59</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水电费、物业管理费、邮电费、工会经费。</w:t>
      </w:r>
    </w:p>
    <w:p>
      <w:pPr>
        <w:pStyle w:val="10"/>
        <w:spacing w:line="600" w:lineRule="exact"/>
        <w:ind w:firstLine="640" w:firstLineChars="200"/>
        <w:rPr>
          <w:rFonts w:ascii="楷体" w:hAnsi="楷体" w:eastAsia="楷体" w:cs="楷体"/>
          <w:b/>
          <w:sz w:val="32"/>
          <w:szCs w:val="32"/>
        </w:rPr>
      </w:pPr>
      <w:r>
        <w:rPr>
          <w:rFonts w:hint="eastAsia" w:hAnsi="黑体"/>
          <w:bCs/>
          <w:sz w:val="32"/>
          <w:szCs w:val="32"/>
        </w:rPr>
        <w:t>七、财政拨款三公经费支出决算情况说明</w:t>
      </w:r>
      <w:r>
        <w:rPr>
          <w:rFonts w:hint="eastAsia" w:ascii="楷体" w:hAnsi="楷体" w:eastAsia="楷体" w:cs="楷体"/>
          <w:b/>
          <w:sz w:val="32"/>
          <w:szCs w:val="32"/>
        </w:rPr>
        <w:t>（一）“三公”经费财政拨款支出决算总体情况说明</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spacing w:line="600" w:lineRule="exact"/>
        <w:ind w:firstLine="800" w:firstLineChars="250"/>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万元，截止2022年12月31日，我单位开支财政拨款的公务用车保有量为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0"/>
        <w:spacing w:line="600" w:lineRule="exact"/>
        <w:rPr>
          <w:rFonts w:hint="default" w:ascii="楷体" w:hAnsi="楷体" w:eastAsia="楷体" w:cs="楷体"/>
          <w:b/>
          <w:bCs/>
          <w:i/>
          <w:color w:val="auto"/>
          <w:sz w:val="32"/>
          <w:szCs w:val="32"/>
          <w:lang w:val="en-US"/>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本部门</w:t>
      </w:r>
      <w:r>
        <w:rPr>
          <w:rFonts w:hint="eastAsia" w:ascii="Times New Roman" w:hAnsi="Times New Roman" w:eastAsia="仿宋_GB2312"/>
          <w:sz w:val="32"/>
          <w:szCs w:val="32"/>
        </w:rPr>
        <w:t>2022年度</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收支。</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机关运行经费支出。</w:t>
      </w:r>
    </w:p>
    <w:p>
      <w:pPr>
        <w:pStyle w:val="10"/>
        <w:spacing w:line="600" w:lineRule="exact"/>
        <w:ind w:firstLine="640" w:firstLineChars="200"/>
        <w:rPr>
          <w:rFonts w:hAnsi="黑体"/>
          <w:bCs/>
          <w:sz w:val="32"/>
          <w:szCs w:val="32"/>
        </w:rPr>
      </w:pPr>
      <w:r>
        <w:rPr>
          <w:rFonts w:hint="eastAsia" w:hAnsi="黑体"/>
          <w:bCs/>
          <w:sz w:val="32"/>
          <w:szCs w:val="32"/>
        </w:rPr>
        <w:t>十、一般性支出情况说明</w:t>
      </w:r>
    </w:p>
    <w:p>
      <w:pPr>
        <w:pStyle w:val="1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2022年本部门</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eastAsia="zh-CN"/>
        </w:rPr>
        <w:t>。</w:t>
      </w:r>
    </w:p>
    <w:p>
      <w:pPr>
        <w:pStyle w:val="10"/>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w:t>
      </w:r>
      <w:r>
        <w:rPr>
          <w:rFonts w:hint="eastAsia" w:ascii="Times New Roman" w:hAnsi="Times New Roman" w:eastAsia="仿宋_GB2312"/>
          <w:sz w:val="32"/>
          <w:szCs w:val="32"/>
          <w:lang w:val="en-US" w:eastAsia="zh-CN"/>
        </w:rPr>
        <w:t>204.11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106.47</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64.64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204.11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171.11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83.83</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楷体" w:hAnsi="楷体" w:eastAsia="楷体" w:cs="楷体"/>
          <w:b/>
          <w:bCs/>
          <w:i/>
          <w:color w:val="auto"/>
          <w:sz w:val="32"/>
          <w:szCs w:val="32"/>
        </w:rPr>
        <w:t>（政府采购金额的计算口径为：本部门纳入2022年度部门预算范围的各项政府采购支出金额之和，不包括涉密采购项目的支出金额）</w:t>
      </w:r>
    </w:p>
    <w:p>
      <w:pPr>
        <w:pStyle w:val="10"/>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rPr>
        <w:t>应急保障用车</w:t>
      </w:r>
      <w:r>
        <w:rPr>
          <w:rFonts w:hint="eastAsia" w:ascii="Times New Roman" w:hAnsi="Times New Roman" w:eastAsia="仿宋_GB2312"/>
          <w:sz w:val="32"/>
          <w:szCs w:val="32"/>
          <w:lang w:eastAsia="zh-CN"/>
        </w:rPr>
        <w:t>。另有校园内用的电瓶巡逻车</w:t>
      </w:r>
      <w:r>
        <w:rPr>
          <w:rFonts w:hint="eastAsia" w:ascii="Times New Roman" w:hAnsi="Times New Roman" w:eastAsia="仿宋_GB2312"/>
          <w:sz w:val="32"/>
          <w:szCs w:val="32"/>
          <w:lang w:val="en-US" w:eastAsia="zh-CN"/>
        </w:rPr>
        <w:t>2辆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套。</w:t>
      </w:r>
    </w:p>
    <w:p>
      <w:pPr>
        <w:pStyle w:val="10"/>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学院以习近平新时代中国特色社会主义思想为指导，全面贯彻党的十九大和十九届历次全会精神，认真落实习近平总书记关于教育的重要论述和对湖南重要讲话重要指示批示精神，全面落实党的各项教育方针，围绕校风建设、示范建设、综合改革三大攻坚任务，团结带领广大师生员工励精图治，干事创业, 学院改革发展保持良好态势。</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1、坚持以政治建设为统领，推动党建工作</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一是认真做好第十二届省委第一轮巡视巡查工作；二是民主生活会与组织生活会顺利开展；三是加强党风廉政建设；四是做好宣传思想和文明建设工作。</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2、深化“三教”改革，推进内涵建设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教学管理制度标准更趋完善。今年共制定印发《湖南劳动人事职业学院校企合作管理办法》等11个制度，组织修订2022级20个专业人才培养方案，20个专业顶岗实习标准，约300门课程标准，教学工作更加规范高效。二是持续夯实教学工作基础。学院采购了毕业设计工作管理服务平台和习讯云实习管理系统、易班平台，分被对学生毕业设计和实习过程进行信息化管理，及时、准确统计相关信息。今年已投入50万，采购图书约36000余册，已购买160组图书架，拟再投入50万采购图书约35000余册。三是师资队伍建设进一步加强。学院今年新进专任教师13名、辅导员4名、干事1名。新增26名教师通过“双师型”认定，学院已有161名双师型教师，双师型教师比例已达60%以上。四是技能竞赛硕果累累。今年学院培养、选拔6个教学团队参加湖南省教师职业能力比赛，6个团队均获奖，其中二等奖4个，三等奖2个。商贸旅游系4位教师参加湖南省电子商务师（跨境电子商务师）职业技能竞赛获得一等奖1个，二等奖1个，三等奖2个。机电工程系学生程源康、朱军参加湖南省人民政府主办的第一届技能大赛荣获2022年制冷与空调赛项比赛金奖、铜奖。目前，我院有3名学生代表湖南省参加世界技能大赛国家选拔赛制冷空调赛项集训，这是我院学生第一次代表湖南省参加国家选拔赛。五是招生就业凸显新亮点。招生方面，通过学院全体教职工的共同努力，全年共录取新生3500人，实际到校新生3363人，到校率96.1%。招生人数、到校人数、到校率均再创历史新高。就业方面，截止8月31日，2022届毕业生就业去向落实率90.1%，超过全省89.23%的平均水平。</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3、以“三全育人”为抓手，提升学生管理水平。</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提升学生教育管理工作水平。针对当前学生教育管理方面存在的突出问题，学院制定出台《进一步加强学生教育管理工作二十条举措》及配套规定（方案），形成“1+X”文件体系，进一步加强学生思想政治教育、心理健康教育、日常管理、疫情防控、安全教育工作。二是加强心理健康工作体系建设。修订印发《学生心理危机干预工作管理办法》、《关于进一步规范心理问题学生休学与复学流程的规定》等文件，优化工作流程、明确各方职责。完善心理健康教育中心硬件设施建设，场地面积150平，各功能室逐步完善，共建成个体咨询室2间，校-医远程咨询室1间，宣泄室1间，沙盘游戏室1间，团体辅导(活动)室1间。持续做好心理问题学生排查与干预工作。2022年共组织心理普查2次。其中2022级新生普查初筛率为20.74%，院系班重点关注学生人数为94人，占全院人数2.79%。并根据初筛结果对预警学生进行分级分层回访，全年累计咨询355人次。对于严重心理疾病学生，充分利用校医协作绿色通道和“大学生心理诊室”做好转介工作。三是扎实推进资助育人。及时发放了各类奖、助、补、免学费资金，畅通“绿色通道”和拓宽帮扶渠道，2022年帮助354名学生办理了生源地助学贷款。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4、抓好科研工作，社会服务能力显著增强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一是科研能力不断增强。学院积极组织2022年度各级各类课题的集中申报、立项工作，并加强对非集中申报课题的管理。本年度共组</w:t>
      </w:r>
      <w:r>
        <w:rPr>
          <w:rFonts w:hint="eastAsia" w:ascii="宋体" w:hAnsi="宋体" w:eastAsia="宋体" w:cs="Times New Roman"/>
          <w:sz w:val="28"/>
          <w:szCs w:val="28"/>
        </w:rPr>
        <w:t>织</w:t>
      </w:r>
      <w:r>
        <w:rPr>
          <w:rFonts w:hint="eastAsia" w:ascii="Times New Roman" w:hAnsi="Times New Roman" w:eastAsia="仿宋_GB2312" w:cs="黑体"/>
          <w:color w:val="000000"/>
          <w:kern w:val="0"/>
          <w:sz w:val="32"/>
          <w:szCs w:val="32"/>
          <w:lang w:val="en-US" w:eastAsia="zh-CN" w:bidi="ar-SA"/>
        </w:rPr>
        <w:t>集中申报省级课题13个批次，其中省级各类课题立项共计24项，院级课题立项21项。省级课题结题8项、院级课题结题15项。二是社会服务成果显著。今年学院获批劳动关系协调员社会评价资质，为全省两家获批单位之一。学院积极面向社会开展职业技能鉴定，完成各类职业技能鉴定共计471人。</w:t>
      </w:r>
      <w:r>
        <w:rPr>
          <w:rFonts w:hint="eastAsia" w:ascii="Times New Roman" w:hAnsi="Times New Roman" w:eastAsia="仿宋_GB2312" w:cs="黑体"/>
          <w:color w:val="000000"/>
          <w:kern w:val="0"/>
          <w:sz w:val="32"/>
          <w:szCs w:val="32"/>
          <w:lang w:val="zh-CN" w:eastAsia="zh-CN" w:bidi="ar-SA"/>
        </w:rPr>
        <w:t>成功承接和组织了无损检测培训考证等四场不同类型的培训项目，共计培训人次数892人，培训收入达到61.5</w:t>
      </w:r>
      <w:r>
        <w:rPr>
          <w:rFonts w:hint="eastAsia" w:ascii="Times New Roman" w:hAnsi="Times New Roman" w:eastAsia="仿宋_GB2312" w:cs="黑体"/>
          <w:color w:val="000000"/>
          <w:kern w:val="0"/>
          <w:sz w:val="32"/>
          <w:szCs w:val="32"/>
          <w:lang w:val="en-US" w:eastAsia="zh-CN" w:bidi="ar-SA"/>
        </w:rPr>
        <w:t>8</w:t>
      </w:r>
      <w:r>
        <w:rPr>
          <w:rFonts w:hint="eastAsia" w:ascii="Times New Roman" w:hAnsi="Times New Roman" w:eastAsia="仿宋_GB2312" w:cs="黑体"/>
          <w:color w:val="000000"/>
          <w:kern w:val="0"/>
          <w:sz w:val="32"/>
          <w:szCs w:val="32"/>
          <w:lang w:val="zh-CN" w:eastAsia="zh-CN" w:bidi="ar-SA"/>
        </w:rPr>
        <w:t>万元。成功申请取得长沙县补贴性职业培训车工、电工、工业机器人系统操作员、视觉运维员、装配钳工以及劳动关系协调员，共计6项工种的技能培训资质，为后续社会培训工作拓宽了途径。</w:t>
      </w:r>
    </w:p>
    <w:p>
      <w:pPr>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5、</w:t>
      </w:r>
      <w:r>
        <w:rPr>
          <w:rFonts w:hint="eastAsia" w:ascii="Times New Roman" w:hAnsi="Times New Roman" w:eastAsia="仿宋_GB2312" w:cs="黑体"/>
          <w:color w:val="000000"/>
          <w:kern w:val="0"/>
          <w:sz w:val="32"/>
          <w:szCs w:val="32"/>
          <w:lang w:val="zh-CN" w:eastAsia="zh-CN" w:bidi="ar-SA"/>
        </w:rPr>
        <w:t>做好各类服务保障，建设绿色平安校园</w:t>
      </w:r>
    </w:p>
    <w:p>
      <w:pPr>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一是基础设施建设进一步加强。学院“十四五”基本建设规划顺利通过了省属高校“十四五”规划审核论证，学院6个项目，总投资2.6亿元已列入省属高校“十四五”规划，为争取财政基建专项资金提供有力支持。推动了产教融合实训基地项目可行性研究、初步设计、概算等立项工作，做好了政府新增专项债券需求项目申报准备。学院围墙、门卫室工程建设12月完成工程竣工验收合格，并交付使用。二是财务运行情况良好。学院积极筹措资金为发展提供有力保障，全年收入</w:t>
      </w:r>
      <w:r>
        <w:rPr>
          <w:rFonts w:hint="eastAsia" w:ascii="Times New Roman" w:hAnsi="Times New Roman" w:eastAsia="仿宋_GB2312" w:cs="黑体"/>
          <w:color w:val="000000"/>
          <w:kern w:val="0"/>
          <w:sz w:val="32"/>
          <w:szCs w:val="32"/>
          <w:lang w:val="en-US" w:eastAsia="zh-CN" w:bidi="ar-SA"/>
        </w:rPr>
        <w:t>13597.98</w:t>
      </w:r>
      <w:r>
        <w:rPr>
          <w:rFonts w:hint="eastAsia" w:ascii="Times New Roman" w:hAnsi="Times New Roman" w:eastAsia="仿宋_GB2312" w:cs="黑体"/>
          <w:color w:val="000000"/>
          <w:kern w:val="0"/>
          <w:sz w:val="32"/>
          <w:szCs w:val="32"/>
          <w:lang w:val="zh-CN" w:eastAsia="zh-CN" w:bidi="ar-SA"/>
        </w:rPr>
        <w:t>万元，其中财政拨款</w:t>
      </w:r>
      <w:r>
        <w:rPr>
          <w:rFonts w:hint="eastAsia" w:ascii="Times New Roman" w:hAnsi="Times New Roman" w:eastAsia="仿宋_GB2312" w:cs="黑体"/>
          <w:color w:val="000000"/>
          <w:kern w:val="0"/>
          <w:sz w:val="32"/>
          <w:szCs w:val="32"/>
          <w:lang w:val="en-US" w:eastAsia="zh-CN" w:bidi="ar-SA"/>
        </w:rPr>
        <w:t>8830.72</w:t>
      </w:r>
      <w:r>
        <w:rPr>
          <w:rFonts w:hint="eastAsia" w:ascii="Times New Roman" w:hAnsi="Times New Roman" w:eastAsia="仿宋_GB2312" w:cs="黑体"/>
          <w:color w:val="000000"/>
          <w:kern w:val="0"/>
          <w:sz w:val="32"/>
          <w:szCs w:val="32"/>
          <w:lang w:val="zh-CN" w:eastAsia="zh-CN" w:bidi="ar-SA"/>
        </w:rPr>
        <w:t>万元，非税收入（学费、住宿费）46</w:t>
      </w:r>
      <w:r>
        <w:rPr>
          <w:rFonts w:hint="eastAsia" w:ascii="Times New Roman" w:hAnsi="Times New Roman" w:eastAsia="仿宋_GB2312" w:cs="黑体"/>
          <w:color w:val="000000"/>
          <w:kern w:val="0"/>
          <w:sz w:val="32"/>
          <w:szCs w:val="32"/>
          <w:lang w:val="en-US" w:eastAsia="zh-CN" w:bidi="ar-SA"/>
        </w:rPr>
        <w:t>94.1</w:t>
      </w:r>
      <w:r>
        <w:rPr>
          <w:rFonts w:hint="eastAsia" w:ascii="Times New Roman" w:hAnsi="Times New Roman" w:eastAsia="仿宋_GB2312" w:cs="黑体"/>
          <w:color w:val="000000"/>
          <w:kern w:val="0"/>
          <w:sz w:val="32"/>
          <w:szCs w:val="32"/>
          <w:lang w:val="zh-CN" w:eastAsia="zh-CN" w:bidi="ar-SA"/>
        </w:rPr>
        <w:t>7万元，其他收入</w:t>
      </w:r>
      <w:r>
        <w:rPr>
          <w:rFonts w:hint="eastAsia" w:ascii="Times New Roman" w:hAnsi="Times New Roman" w:eastAsia="仿宋_GB2312" w:cs="黑体"/>
          <w:color w:val="000000"/>
          <w:kern w:val="0"/>
          <w:sz w:val="32"/>
          <w:szCs w:val="32"/>
          <w:lang w:val="en-US" w:eastAsia="zh-CN" w:bidi="ar-SA"/>
        </w:rPr>
        <w:t>73.09</w:t>
      </w:r>
      <w:r>
        <w:rPr>
          <w:rFonts w:hint="eastAsia" w:ascii="Times New Roman" w:hAnsi="Times New Roman" w:eastAsia="仿宋_GB2312" w:cs="黑体"/>
          <w:color w:val="000000"/>
          <w:kern w:val="0"/>
          <w:sz w:val="32"/>
          <w:szCs w:val="32"/>
          <w:lang w:val="zh-CN" w:eastAsia="zh-CN" w:bidi="ar-SA"/>
        </w:rPr>
        <w:t xml:space="preserve"> 万元。同时为防范和化解财务风险，加强了对银行贷款、基建工程欠款的清理，本年度归还银行贷款680万元，办理贷款续贷展期4000万元，新增贷款200万元，结算基建工程尾款789.22万元。三是平安校园建设稳步推进。学院深入贯彻习近平总书记对望城“4.29”居民自建房倒塌事故的重要指示和李克强总理批示要求，全面落实相关会议、文件精神，制定出台《学院安全大检查百日攻坚行动方案》，多次开展校园安全大检查专项工作及安全大检查百日攻坚活动，深入组织开展问题清查，专项整治，建立安全工作长效机制，确保学院平稳有序。四是疫情防控措施得力。2022年，湖南省疫情呈现点多、面广、频发特点,形势严峻复杂，学院疫情防控风险持续加大。疫情防控专班坚决贯彻落实党中央国务院关于新冠肺炎疫情防控的决策部署和省、市疫情防控工作要求，严格落实学院党委行政对疫情防控的各项要求，全面做好学院疫情防控工作，确保师生员工生命安全和身体健康。截至12月7日（国家防疫“新十条”出台前），我院未出现新冠肺炎确诊或疑似病例，取得了疫情防控全面胜利，为平安校园建设筑牢了安全防线。　</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1、年初预算编制时，财政是按上一年度的基本拨款下达，与政府中长规划的关联度不够，导致年中预算调整率偏高 。</w:t>
      </w:r>
    </w:p>
    <w:p>
      <w:pPr>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2、项目资金集中在年末使用较多。主要原因为，由于部分项目资金下达时间为202</w:t>
      </w:r>
      <w:r>
        <w:rPr>
          <w:rFonts w:hint="eastAsia" w:ascii="Times New Roman" w:hAnsi="Times New Roman" w:eastAsia="仿宋_GB2312" w:cs="黑体"/>
          <w:color w:val="000000"/>
          <w:kern w:val="0"/>
          <w:sz w:val="32"/>
          <w:szCs w:val="32"/>
          <w:lang w:val="en-US" w:eastAsia="zh-CN" w:bidi="ar-SA"/>
        </w:rPr>
        <w:t>2</w:t>
      </w:r>
      <w:r>
        <w:rPr>
          <w:rFonts w:hint="eastAsia" w:ascii="Times New Roman" w:hAnsi="Times New Roman" w:eastAsia="仿宋_GB2312" w:cs="黑体"/>
          <w:color w:val="000000"/>
          <w:kern w:val="0"/>
          <w:sz w:val="32"/>
          <w:szCs w:val="32"/>
          <w:lang w:val="zh-CN" w:eastAsia="zh-CN" w:bidi="ar-SA"/>
        </w:rPr>
        <w:t xml:space="preserve">年10月之后，导致用款时间滞后，集中在12月。 </w:t>
      </w:r>
    </w:p>
    <w:p>
      <w:pPr>
        <w:ind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3、项目资金结余较多，主要原因为，一是省级高职生均拨款1313万元下达时间是2022年12月26日，二是高校“十四五”基建专项资金（产教融合及信息一体化项目）项目未完成，还在建设期中。</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br w:type="page"/>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机关运行经费：是指机关及参公单位的公用经费，包括办公及印刷费、邮电费、差旅费、会议费、福利费、日常维修费、专用资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284FE0"/>
    <w:multiLevelType w:val="singleLevel"/>
    <w:tmpl w:val="57284FE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TBiMmMzNDg3ZjM2OTM5YThkZGYwMjA4OTUyYWIifQ=="/>
  </w:docVars>
  <w:rsids>
    <w:rsidRoot w:val="009F1694"/>
    <w:rsid w:val="00320171"/>
    <w:rsid w:val="003D0849"/>
    <w:rsid w:val="007F14F2"/>
    <w:rsid w:val="009F1694"/>
    <w:rsid w:val="02B13850"/>
    <w:rsid w:val="03DF1708"/>
    <w:rsid w:val="064C0BB7"/>
    <w:rsid w:val="08267F67"/>
    <w:rsid w:val="09D42004"/>
    <w:rsid w:val="0C4F07A1"/>
    <w:rsid w:val="17712800"/>
    <w:rsid w:val="2156563F"/>
    <w:rsid w:val="2D775B8D"/>
    <w:rsid w:val="2DF515F3"/>
    <w:rsid w:val="33C726BE"/>
    <w:rsid w:val="3B9F65A0"/>
    <w:rsid w:val="3C5627EB"/>
    <w:rsid w:val="3F620D12"/>
    <w:rsid w:val="3F9F48BC"/>
    <w:rsid w:val="4202286C"/>
    <w:rsid w:val="42026D52"/>
    <w:rsid w:val="47BD360A"/>
    <w:rsid w:val="4C172EBF"/>
    <w:rsid w:val="4ECD3754"/>
    <w:rsid w:val="528133A8"/>
    <w:rsid w:val="54BB1814"/>
    <w:rsid w:val="54FA08B4"/>
    <w:rsid w:val="57973246"/>
    <w:rsid w:val="593275D7"/>
    <w:rsid w:val="5E777FA3"/>
    <w:rsid w:val="602C5263"/>
    <w:rsid w:val="608D2449"/>
    <w:rsid w:val="61204EA2"/>
    <w:rsid w:val="6277205A"/>
    <w:rsid w:val="650F5C2F"/>
    <w:rsid w:val="6E5604DC"/>
    <w:rsid w:val="6F6F0420"/>
    <w:rsid w:val="73317F3E"/>
    <w:rsid w:val="771E5551"/>
    <w:rsid w:val="79B63551"/>
    <w:rsid w:val="7DC75A26"/>
    <w:rsid w:val="7E7A1982"/>
    <w:rsid w:val="7EDF278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2023-08-15T09:28:45Z</cp:lastPrinted>
  <dcterms:created xsi:type="dcterms:W3CDTF">2020-07-04T18:32:00Z</dcterms:created>
  <dcterms:modified xsi:type="dcterms:W3CDTF">2023-08-15T09:28:46Z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5.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2052-11.8.2.10125</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Props1.xml><?xml version="1.0" encoding="utf-8"?>
<ds:datastoreItem xmlns:ds="http://schemas.openxmlformats.org/officeDocument/2006/customXml" ds:itemID="{4BA4DEFA-A8E9-40FA-B0D2-1BD9DF370C9A}">
  <ds:schemaRefs/>
</ds:datastoreItem>
</file>

<file path=customXml/itemProps2.xml><?xml version="1.0" encoding="utf-8"?>
<ds:datastoreItem xmlns:ds="http://schemas.openxmlformats.org/officeDocument/2006/customXml" ds:itemID="{94D8336E-ACFD-41B5-8332-F372559242F3}">
  <ds:schemaRefs/>
</ds:datastoreItem>
</file>

<file path=customXml/itemProps3.xml><?xml version="1.0" encoding="utf-8"?>
<ds:datastoreItem xmlns:ds="http://schemas.openxmlformats.org/officeDocument/2006/customXml" ds:itemID="{FAE040C5-26D6-4199-A6D4-1D543929CC2A}">
  <ds:schemaRefs/>
</ds:datastoreItem>
</file>

<file path=customXml/itemProps4.xml><?xml version="1.0" encoding="utf-8"?>
<ds:datastoreItem xmlns:ds="http://schemas.openxmlformats.org/officeDocument/2006/customXml" ds:itemID="{76CE4FF5-DD02-443A-8A9E-F28CAD65AC03}">
  <ds:schemaRefs/>
</ds:datastoreItem>
</file>

<file path=customXml/itemProps5.xml><?xml version="1.0" encoding="utf-8"?>
<ds:datastoreItem xmlns:ds="http://schemas.openxmlformats.org/officeDocument/2006/customXml" ds:itemID="{00294027-71F0-4580-8829-767AA2382A2B}">
  <ds:schemaRefs/>
</ds:datastoreItem>
</file>

<file path=customXml/itemProps6.xml><?xml version="1.0" encoding="utf-8"?>
<ds:datastoreItem xmlns:ds="http://schemas.openxmlformats.org/officeDocument/2006/customXml" ds:itemID="{9A889DC1-7A6B-4EBC-A2CB-905BEE8AD168}">
  <ds:schemaRefs/>
</ds:datastoreItem>
</file>

<file path=customXml/itemProps7.xml><?xml version="1.0" encoding="utf-8"?>
<ds:datastoreItem xmlns:ds="http://schemas.openxmlformats.org/officeDocument/2006/customXml" ds:itemID="{F9A9A067-152B-4C2D-B8AA-E3842965AD55}">
  <ds:schemaRefs/>
</ds:datastoreItem>
</file>

<file path=customXml/itemProps8.xml><?xml version="1.0" encoding="utf-8"?>
<ds:datastoreItem xmlns:ds="http://schemas.openxmlformats.org/officeDocument/2006/customXml" ds:itemID="{FC6E1465-2F92-4C1F-B76E-955D8A0B64BF}">
  <ds:schemaRefs/>
</ds:datastoreItem>
</file>

<file path=customXml/itemProps9.xml><?xml version="1.0" encoding="utf-8"?>
<ds:datastoreItem xmlns:ds="http://schemas.openxmlformats.org/officeDocument/2006/customXml" ds:itemID="{476B1D34-CB69-4A44-BCA0-984415DCCD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8954</Words>
  <Characters>10609</Characters>
  <Lines>75</Lines>
  <Paragraphs>21</Paragraphs>
  <TotalTime>339</TotalTime>
  <ScaleCrop>false</ScaleCrop>
  <LinksUpToDate>false</LinksUpToDate>
  <CharactersWithSpaces>11250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2023-09-04T02:06:00Z</cp:lastPrinted>
  <dcterms:modified xsi:type="dcterms:W3CDTF">2023-09-04T02:19:53Z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5C59928AA3ED4813A5161B023F88D7D7_13</vt:lpwstr>
  </property>
</Properties>
</file>