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湖南劳动人事职业学院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校外专家劳务费发放管理暂行办法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为进一步加强学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院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各类校外专家劳务费发放管理，规范发放标准和程序，根据上级有关规定，结合学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院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实际，制定本办法。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本办法适用于各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处室、系部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邀请校外专家为学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院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临时性工作从事的劳务活动所产生的劳务费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劳务费发放金额要符合有关开支标准，并应与劳务工作量相符合。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本办法所称劳务费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分为讲学类、评审类、其他类，包括聘请专家、学者、工作人员等进行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各类学术报告、形势政策报告、党课、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宣传、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培训、讲座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讲课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评审、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执裁、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鉴定、验收、论证、咨询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、办案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等劳务费。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四、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邀请校外专家要履行事前报批手续，填写《校外专家劳务费发放申报表》，按照程序进行审批。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五、审批需提供如下资料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劳务费发放人员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身份证号码、银行卡号及开户银行、手机号码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、职称证件复印件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等信息，外籍人员还需提供护照复印件及第一次来华时间等信息。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对劳务报酬发放进行详细说明，如专家简介、职称职务、劳务发生时间（某月某日几点到几点）及地点、劳务具体内容、受众对象等。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六、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邀请校外专家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需报销差旅费的，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需单独成批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后可根据学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院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差旅费相关规定报销城市间交通费、住宿费、市内交通费，不发放伙食补助。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七、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在同一时间参加多项劳务活动，劳务费只能按照一项标准发放，不得重复领取。重大突发性事件处置、重要突击性项目申报等劳务费标准，由相关部门提出，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院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长办公会研究决定。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八、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各类劳务费发放标准均为税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标准，是相应劳务费发放的上限，各部门应根据实际工作量及预算在标准限额内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支付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，如有特殊原因需超过劳务费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支付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标准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，应提出正式书面申请，经审批后方可执行。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九、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劳务费以银行转账方式进行，不得现金发放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，支付时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提供正规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劳务费发票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，发票上应缴纳的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个人所得税，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由学院从对应劳务费支出经费项目中开支。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十、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严禁巧立名目变相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支付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各类劳务费；严禁以讲学、评审等名义套取劳务费；严禁虚列、伪造名单、虚报任务天数，以报销票据的方式变相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支付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和虚报冒领劳务费。一经发现查实，除责令整改外，将视情节严肃处理，并严肃追责。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十一、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校外专家劳务费发放标准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spacing w:line="27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</w:rPr>
        <w:t>校外专家劳务费发放标准一览表</w:t>
      </w:r>
    </w:p>
    <w:tbl>
      <w:tblPr>
        <w:tblStyle w:val="3"/>
        <w:tblW w:w="8641" w:type="dxa"/>
        <w:tblInd w:w="-1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335"/>
        <w:gridCol w:w="3506"/>
        <w:gridCol w:w="3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Header/>
        </w:trPr>
        <w:tc>
          <w:tcPr>
            <w:tcW w:w="18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</w:rPr>
              <w:t>项目名称</w:t>
            </w:r>
          </w:p>
        </w:tc>
        <w:tc>
          <w:tcPr>
            <w:tcW w:w="35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</w:rPr>
              <w:t>发放标准（税后）</w:t>
            </w:r>
          </w:p>
        </w:tc>
        <w:tc>
          <w:tcPr>
            <w:tcW w:w="3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讲学类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1.院士、全国知名专家：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每半天不超过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3000元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2.正高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级技术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人员：每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半天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最高不超过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000元；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3.副高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技术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人员：每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半天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最高不超过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1000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元;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4.其他人员：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按课时计算，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每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课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时最高不超过200元。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从省外或境外邀请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讲学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授课老师，路途时间较长的，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经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书面批准，讲课费可以在原标准上最多增加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55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类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专家咨询费（专家指导费）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1.院士、全国知名专家：3000元/人/天；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2.正高职称人员：2000元/人/天；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3.副高职称人员：1000元/人/天;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4.其他人员：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600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元/人/天。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1.以会议形式和现场访谈组织的专家咨询活动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时间在半天的按标准的60%执行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2.以通讯形式组织的专家咨询费按次计算，每次按标准的50%执行。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政府采购项目评审费（含论证、验收）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1.同城评审：评审时间不超过3小时（含）的，400元/人，超过3个小时的，不足0.5小时的按0.5小时计算，增加50元/人；超过0.5小时不足1小时的按1小时计算，每1小时增加100元/人。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2.异地评审：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（1）本省专家：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300-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600元/人/半天;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（2）外省专家：副高及以下职称人员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500-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800元/人/半天；正高职称人员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1000-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1500元/人/半天；院士、全国著名专家2000元/人/半天。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1.担任评审组组长的，在评审报酬总额上另增加100元。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聘请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异地专家评审的，其往返的城市间交通费、住宿费等实际发生的费用，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经批准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凭有效票据按照学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差旅费管理办法相关标准报销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3.学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组织的采购项目评审费按此标准执行。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55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类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各类竞赛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执裁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评审费（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国家、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省级技能竞赛、）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1000－2000元/人/天。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1.如全天评审时间超过8小时，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经报批后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评审费可适当增加，但不得超过3000元/人/天。2.担任评审组组长的，可另增加不超过200元的评审报酬。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学校重大项目申报、评估、论证等评审费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1000-3000元/人/次。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专业技术职务评审费</w:t>
            </w:r>
          </w:p>
        </w:tc>
        <w:tc>
          <w:tcPr>
            <w:tcW w:w="35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600-1000元/人/半天。</w:t>
            </w:r>
          </w:p>
        </w:tc>
        <w:tc>
          <w:tcPr>
            <w:tcW w:w="32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以会议形式组织的评审活动时间不超过两天的按标准执行；超过两天的第一、二天按标准执行，第三天及以后按标准的50%执行。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以通讯形式组织的评审费按次计算，标准为600-1000元/人/次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担任评审组组长的，可另增加不超过200元的评审报酬。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横向科研项目如在协议中对评审费有明确约定按其约定执行。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科研项目、教改项目专家评审费</w:t>
            </w:r>
          </w:p>
        </w:tc>
        <w:tc>
          <w:tcPr>
            <w:tcW w:w="35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教育教学成果评审、鉴定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  <w:rPrChange w:id="0" w:author="Administrator" w:date="2020-06-30T11:07:00Z"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</w:rPrChange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其他各类项目评审费</w:t>
            </w:r>
          </w:p>
        </w:tc>
        <w:tc>
          <w:tcPr>
            <w:tcW w:w="35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面试费、阅卷费、答辩费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500元/人/半天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30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担任组长的，可另增加不超过200元的劳务报酬。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各类考试巡考费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400元/人/次。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55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其他类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其他类型劳务费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100-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00元/人/半天。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支付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金额按具体工作量确定。</w:t>
            </w:r>
          </w:p>
        </w:tc>
      </w:tr>
    </w:tbl>
    <w:tbl>
      <w:tblPr>
        <w:tblStyle w:val="4"/>
        <w:tblpPr w:leftFromText="180" w:rightFromText="180" w:vertAnchor="text" w:tblpX="10214" w:tblpY="-5373"/>
        <w:tblOverlap w:val="never"/>
        <w:tblW w:w="1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4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line="600" w:lineRule="atLeas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line="600" w:lineRule="atLeast"/>
        <w:ind w:right="0" w:rightChars="0" w:firstLine="320" w:firstLineChars="1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十二、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本办法自公布之日起执行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，计划财务处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负责解释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line="600" w:lineRule="atLeast"/>
        <w:ind w:right="0" w:rightChars="0" w:firstLine="960" w:firstLineChars="3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line="600" w:lineRule="atLeast"/>
        <w:ind w:right="0" w:rightChars="0" w:firstLine="960" w:firstLineChars="3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line="600" w:lineRule="atLeast"/>
        <w:ind w:right="0" w:rightChars="0" w:firstLine="960" w:firstLineChars="3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line="600" w:lineRule="atLeast"/>
        <w:ind w:right="0" w:rightChars="0" w:firstLine="960" w:firstLineChars="3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line="600" w:lineRule="atLeast"/>
        <w:ind w:right="0" w:rightChars="0" w:firstLine="960" w:firstLineChars="3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line="600" w:lineRule="atLeast"/>
        <w:ind w:right="0" w:rightChars="0" w:firstLine="960" w:firstLineChars="3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line="600" w:lineRule="atLeast"/>
        <w:ind w:right="0" w:rightChars="0" w:firstLine="960" w:firstLineChars="3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line="600" w:lineRule="atLeast"/>
        <w:ind w:right="0" w:rightChars="0" w:firstLine="960" w:firstLineChars="3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line="600" w:lineRule="atLeast"/>
        <w:ind w:right="0" w:rightChars="0" w:firstLine="960" w:firstLineChars="3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line="600" w:lineRule="atLeast"/>
        <w:ind w:right="0" w:rightChars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《个人代开普通发票程序》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line="600" w:lineRule="atLeast"/>
        <w:ind w:right="0" w:rightChars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1928" w:firstLineChars="6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个人代开普通发票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百度搜索湖南省电子税务局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↓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自然人登陆(先在手机上下载个人所得税APP并注册(人脸识别注册) )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↓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再注册自然人电子税务局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↓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账户(身份证号码)、密码、获取短信验证码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↓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登陆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↓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办税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↓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代开增值税普通发票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↓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点击新增信息(新增白然人发票代开信息页面、我要代开)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↓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录入申请人身份证号码、名称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↓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身份信息确认后，进入代开增值税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缴</w:t>
      </w:r>
      <w:r>
        <w:rPr>
          <w:rFonts w:hint="eastAsia" w:ascii="仿宋_GB2312" w:hAnsi="仿宋_GB2312" w:eastAsia="仿宋_GB2312" w:cs="仿宋_GB2312"/>
          <w:sz w:val="32"/>
          <w:szCs w:val="32"/>
        </w:rPr>
        <w:t>纳税款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</w:rPr>
        <w:t>报页面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↓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带*号的都要填写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↓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发票领取方式选择立即邮寄、立即邮寄、立即邮寄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↓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填写邮寄地址、再点击下一步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↓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确认后点击保存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↓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缴</w:t>
      </w:r>
      <w:r>
        <w:rPr>
          <w:rFonts w:hint="eastAsia" w:ascii="仿宋_GB2312" w:hAnsi="仿宋_GB2312" w:eastAsia="仿宋_GB2312" w:cs="仿宋_GB2312"/>
          <w:sz w:val="32"/>
          <w:szCs w:val="32"/>
        </w:rPr>
        <w:t>款(扫码、微信)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↓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缴</w:t>
      </w:r>
      <w:r>
        <w:rPr>
          <w:rFonts w:hint="eastAsia" w:ascii="仿宋_GB2312" w:hAnsi="仿宋_GB2312" w:eastAsia="仿宋_GB2312" w:cs="仿宋_GB2312"/>
          <w:sz w:val="32"/>
          <w:szCs w:val="32"/>
        </w:rPr>
        <w:t>款成功后需等待4-5分钟点击查询再点击寄、提交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before="0" w:beforeAutospacing="0" w:after="0" w:afterAutospacing="0" w:line="567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before="0" w:beforeAutospacing="0" w:after="0" w:afterAutospacing="0" w:line="567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before="0" w:beforeAutospacing="0" w:after="0" w:afterAutospacing="0" w:line="567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368E48"/>
    <w:multiLevelType w:val="singleLevel"/>
    <w:tmpl w:val="85368E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1376950"/>
    <w:multiLevelType w:val="singleLevel"/>
    <w:tmpl w:val="21376950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A709D"/>
    <w:rsid w:val="5A4A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2020-10-26T03:27:00Z</dcterms:created>
  <dc:creator>好姐》》nai妈</dc:creator>
  <cp:lastModifiedBy>好姐》》nai妈</cp:lastModifiedBy>
  <dcterms:modified xsi:type="dcterms:W3CDTF">2020-10-26T03:28:14Z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